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27E" w:rsidRDefault="0032627E" w:rsidP="0032627E">
      <w:r>
        <w:t xml:space="preserve">Recenze na publikaci vydanou Národní knihovnou ČR v Českém časopise historickém č.2/2018, který vydává </w:t>
      </w:r>
      <w:r w:rsidRPr="0032627E">
        <w:t>Historický ústav AV ČR, v. v. i.</w:t>
      </w:r>
    </w:p>
    <w:p w:rsidR="0032627E" w:rsidRDefault="0032627E" w:rsidP="0032627E">
      <w:r>
        <w:t xml:space="preserve">Kamil BOLDAN Úřední jednolistové </w:t>
      </w:r>
      <w:proofErr w:type="gramStart"/>
      <w:r>
        <w:t>tisky  jagellonského</w:t>
      </w:r>
      <w:proofErr w:type="gramEnd"/>
      <w:r>
        <w:t xml:space="preserve"> věku Praha, Národní knihovna České republiky 2016, 176 s., ISBN 978-80-7050-675-2.</w:t>
      </w:r>
    </w:p>
    <w:p w:rsidR="0032627E" w:rsidRDefault="0032627E" w:rsidP="0032627E">
      <w:r>
        <w:t xml:space="preserve">Recenzovaná publikace z pera Kamila </w:t>
      </w:r>
      <w:proofErr w:type="spellStart"/>
      <w:r>
        <w:t>Boldana</w:t>
      </w:r>
      <w:proofErr w:type="spellEnd"/>
      <w:r>
        <w:t xml:space="preserve"> je svého druhu specializovaným katalogem (soupisem) věnovaným fenoménu jednolistových tisků úředního či poloúředního charakteru pocházejících z rané fáze českého knihtisku. Autor se oblasti knižní kultury a tištěných médií jagellonského věku věnuje dlouhodobě a snad není od věci hned na úvod podotknout, že se tato skutečnost příjemně podepsala na kvalitě výsledného textu. Za přínosnou je možno označit už samotnou volbu tématu práce, totiž soupis a zevrubnou analýzu tisků o rozsahu jednoho listu, které bývaly potištěny pouze na jedné, lícové straně. Jak autor podotýká, byly jednolistové tisky do značné míry spotřebním materiálem, což zásadním způsobem ovlivnilo míru jejich uchování. Ačkoli tak vycházely v (na svou dobu) masových nákladech, dochovány dnes bývají pouhé jednotliviny. Významu jednolistových tisků v komunikační „revoluci“ přelomu středověku a raného novověku přitom v českém prostředí dlouhodobě neodpovídal stav jejich zpracování. Dosavadní soupisy typografických památek byly zacíleny primárně na inkunábule, badatelské vytěžení problematiky pro dobu po roce 1501 tudíž spíše pokulhávalo. Nejen v tomto ohledu splácí </w:t>
      </w:r>
      <w:proofErr w:type="spellStart"/>
      <w:r>
        <w:t>Boldanova</w:t>
      </w:r>
      <w:proofErr w:type="spellEnd"/>
      <w:r>
        <w:t xml:space="preserve"> kniha výrazný dluh. Jak již bylo řečeno, zaměřil se autor ve své práci na dochované jednolistové tisky úředního, resp. poloúředního charakteru z nejstarší vrstvy českých dějin knihtisku, kterou lze ztot</w:t>
      </w:r>
      <w:r>
        <w:t xml:space="preserve">ožnit s vládou česko-uherských </w:t>
      </w:r>
      <w:r>
        <w:t xml:space="preserve">králů z rodu Jagellonců. V centru zájmu se tak ocitly první typograficky multiplikované panovnické mandáty, formuláře (odpustkových) listin, ale např. též nejstarší „česká“ reklamní nabídka pocházející z olomoucké tiskařské oficíny Konrada </w:t>
      </w:r>
      <w:proofErr w:type="spellStart"/>
      <w:r>
        <w:t>Baumgartena</w:t>
      </w:r>
      <w:proofErr w:type="spellEnd"/>
      <w:r>
        <w:t xml:space="preserve">. Vedle známých kusů přitom </w:t>
      </w:r>
      <w:proofErr w:type="spellStart"/>
      <w:r>
        <w:t>Boldan</w:t>
      </w:r>
      <w:proofErr w:type="spellEnd"/>
      <w:r>
        <w:t xml:space="preserve"> registruje tisky, které doposud unikaly pozornosti zainteresované veřejnosti. Katalogu, jenž je vlastním jádrem recenzované publikace, je předsazen hutný úvod, v němž autor svým čtenářům nabídl zasvěcený knihovědný a obecně historický kontext evropský i český. Vedle (polo)úřední jednolistové tiskařské produkce přitom představil rovněž její neúřední varianty (kalendářové pomůcky, lékařská naučení, zprávy reflektující aktuální dění, pamflety, modlitby apod.). Celkem se </w:t>
      </w:r>
      <w:proofErr w:type="spellStart"/>
      <w:r>
        <w:t>Boldanovi</w:t>
      </w:r>
      <w:proofErr w:type="spellEnd"/>
      <w:r>
        <w:t xml:space="preserve"> podařilo identifikovat 23 jednolistových </w:t>
      </w:r>
      <w:proofErr w:type="spellStart"/>
      <w:r>
        <w:t>bohemikálních</w:t>
      </w:r>
      <w:proofErr w:type="spellEnd"/>
      <w:r>
        <w:t xml:space="preserve"> tisků úředního charakteru vytištěných v Brně, Olomouci, Plzni, Praze, Štrasburku a Lipsku. Je škoda, že se přitom autor zaměřil pouze na Čechy a Moravu, přičemž pominul ostatní země starého českého státu, tedy Lužice a zejména Slezsko, kde byla roku 1475 založena vůbec nejstarší tiskárna na území České koruny (dílnu provozoval ve Vratislavi </w:t>
      </w:r>
      <w:proofErr w:type="spellStart"/>
      <w:r>
        <w:t>Kaspar</w:t>
      </w:r>
      <w:proofErr w:type="spellEnd"/>
      <w:r>
        <w:t xml:space="preserve"> </w:t>
      </w:r>
      <w:proofErr w:type="spellStart"/>
      <w:r>
        <w:t>Elyan</w:t>
      </w:r>
      <w:proofErr w:type="spellEnd"/>
      <w:r>
        <w:t>). Obsah pojmu „</w:t>
      </w:r>
      <w:proofErr w:type="spellStart"/>
      <w:r>
        <w:t>bohemikální</w:t>
      </w:r>
      <w:proofErr w:type="spellEnd"/>
      <w:r>
        <w:t xml:space="preserve">“ produkce, uzavřený přibližně do hranic dnešní České republiky, je tím poněkud pokřiven. Struktura hesel řazených chronologicky a věcně (dle jednotlivých tiskařských oficín) má přehlednou ustálenou podobu. Obsahuje vždy kompletní titul, časové určení (vročení), výčet dochovaných exemplářů včetně známých </w:t>
      </w:r>
      <w:proofErr w:type="spellStart"/>
      <w:r>
        <w:t>deperdit</w:t>
      </w:r>
      <w:proofErr w:type="spellEnd"/>
      <w:r>
        <w:t xml:space="preserve">, záznam o jejich aktuálním uložení a související bibliografické údaje. Nechybí ani kvalitní barevné reprodukce všech evidovaných jednolistových tisků. Následuje konkrétní </w:t>
      </w:r>
    </w:p>
    <w:p w:rsidR="00B10899" w:rsidRDefault="0032627E" w:rsidP="0032627E">
      <w:r>
        <w:t xml:space="preserve">analýza, která se pravidelně mění v hutné žánrové </w:t>
      </w:r>
      <w:proofErr w:type="spellStart"/>
      <w:r>
        <w:t>mikrostudie</w:t>
      </w:r>
      <w:proofErr w:type="spellEnd"/>
      <w:r>
        <w:t xml:space="preserve">. U jednotlivých tiskařských dílen nabízí </w:t>
      </w:r>
      <w:proofErr w:type="spellStart"/>
      <w:r>
        <w:t>Boldan</w:t>
      </w:r>
      <w:proofErr w:type="spellEnd"/>
      <w:r>
        <w:t xml:space="preserve"> přehled produkce včetně rozboru okruhů objednavatelů prací a jejich recipientů (čtenářstva). Představuje tak jednolistové tisky např. coby zajímavý pramen poznání pozdně středověké měšťanské zbožnosti. Věnuje pozornost technické (typografické) úrovni tištěných děl, nevyhýbá se ovšem ani otázkám spojeným se způsoby jejich distribuce či marketingovými strategiemi provozovatelů tiskařských dílen. Užitečné jsou rovněž exkurzy směrem k představení společenské funkce pojednávaných tisků. Výklad autor staví na obecně historiografické reflexi dobového dění (např. domácích válek, konfliktů mezi stavy nebo řádění loupeživých rot), na které jednolistové tisky reagovaly. Klíčovým metodickým východiskem je zde tudíž </w:t>
      </w:r>
      <w:proofErr w:type="spellStart"/>
      <w:r>
        <w:t>kontextualizace</w:t>
      </w:r>
      <w:proofErr w:type="spellEnd"/>
      <w:r>
        <w:t xml:space="preserve"> výkladu. Jak bývá </w:t>
      </w:r>
      <w:r>
        <w:lastRenderedPageBreak/>
        <w:t xml:space="preserve">chvalitebným zvykem, provází knihu seznam použité literatury. Užitečné je rovněž obšírné resumé v anglickém jazyce. Čtenáři se dostává do rukou zdařilé dílo, které bezesporu zaplňuje jedno z bílých míst, pokud jde o poznání široce chápaných kulturních dějin jagellonského období. Při vědomí nesporné kvality odvedené práce je proto dvojnásob škoda, že se autor nepokusil o skutečně </w:t>
      </w:r>
      <w:proofErr w:type="spellStart"/>
      <w:r>
        <w:t>celokorunní</w:t>
      </w:r>
      <w:proofErr w:type="spellEnd"/>
      <w:r>
        <w:t xml:space="preserve"> analýzu problematiky. Lze totiž mít za jisté, že by měl pro zvládnutí takového úkolu ty nejlepší předpoklady. Petr Kozák</w:t>
      </w:r>
      <w:bookmarkStart w:id="0" w:name="_GoBack"/>
      <w:bookmarkEnd w:id="0"/>
    </w:p>
    <w:sectPr w:rsidR="00B10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7E"/>
    <w:rsid w:val="0032627E"/>
    <w:rsid w:val="00B10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0516"/>
  <w15:chartTrackingRefBased/>
  <w15:docId w15:val="{43DBDF32-0048-420D-8D8F-1412C157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4076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Maňáková Irena</dc:creator>
  <cp:keywords/>
  <dc:description/>
  <cp:lastModifiedBy>Maňáková Irena</cp:lastModifiedBy>
  <cp:revision>1</cp:revision>
  <dcterms:created xsi:type="dcterms:W3CDTF">2018-07-23T16:31:00Z</dcterms:created>
  <dcterms:modified xsi:type="dcterms:W3CDTF">2018-07-23T16:34:00Z</dcterms:modified>
</cp:coreProperties>
</file>