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4A0D9A" w:rsidRPr="00FF14C1" w:rsidRDefault="004A0D9A" w:rsidP="004A0D9A">
      <w:pPr>
        <w:pStyle w:val="Nzev"/>
        <w:rPr>
          <w:rStyle w:val="Zdraznnintenzivn"/>
        </w:rPr>
      </w:pPr>
      <w:r w:rsidRPr="00FF14C1">
        <w:rPr>
          <w:rStyle w:val="Zdraznnintenzivn"/>
        </w:rPr>
        <w:t>Zpráva ze zahraniční služební cesty</w:t>
      </w: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0213CE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Mgr. </w:t>
            </w:r>
            <w:r w:rsidR="00A32F5B">
              <w:rPr>
                <w:rFonts w:asciiTheme="minorHAnsi" w:hAnsiTheme="minorHAnsi" w:cstheme="minorHAnsi"/>
                <w:sz w:val="22"/>
                <w:szCs w:val="22"/>
              </w:rPr>
              <w:t xml:space="preserve">Anna </w:t>
            </w:r>
            <w:r w:rsidR="000213CE">
              <w:rPr>
                <w:rFonts w:asciiTheme="minorHAnsi" w:hAnsiTheme="minorHAnsi" w:cstheme="minorHAnsi"/>
                <w:sz w:val="22"/>
                <w:szCs w:val="22"/>
              </w:rPr>
              <w:t>Cajthamlová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4A0D9A" w:rsidRDefault="00CF3B5C" w:rsidP="000213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</w:t>
            </w:r>
            <w:r w:rsidR="000213CE">
              <w:rPr>
                <w:rFonts w:ascii="Calibri" w:hAnsi="Calibri" w:cs="Calibri"/>
                <w:sz w:val="22"/>
                <w:szCs w:val="22"/>
              </w:rPr>
              <w:t>.3</w:t>
            </w:r>
            <w:r w:rsidR="00A32F5B">
              <w:rPr>
                <w:rFonts w:ascii="Calibri" w:hAnsi="Calibri" w:cs="Calibri"/>
                <w:sz w:val="22"/>
                <w:szCs w:val="22"/>
              </w:rPr>
              <w:t xml:space="preserve">. Oddělení </w:t>
            </w:r>
            <w:r w:rsidR="000213CE">
              <w:rPr>
                <w:rFonts w:ascii="Calibri" w:hAnsi="Calibri" w:cs="Calibri"/>
                <w:sz w:val="22"/>
                <w:szCs w:val="22"/>
              </w:rPr>
              <w:t>správy NKF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20F10" w:rsidP="00294D26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vedoucí</w:t>
            </w:r>
            <w:r w:rsidR="00294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oddělení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4B7F9D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Účast na </w:t>
            </w:r>
            <w:r w:rsidR="00CF3B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mezinárodní konferenci QQML 201</w:t>
            </w:r>
            <w:r w:rsidR="006907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CF3B5C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Florencie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F3B5C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Itálie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F3B5C" w:rsidP="00294D2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27</w:t>
            </w:r>
            <w:r w:rsidR="004B7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5. – 1. 6</w:t>
            </w:r>
            <w:r w:rsidR="004B7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294D26" w:rsidRDefault="00CF3B5C" w:rsidP="00120F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4B7F9D">
              <w:rPr>
                <w:rFonts w:asciiTheme="minorHAnsi" w:hAnsiTheme="minorHAnsi" w:cstheme="minorHAnsi"/>
                <w:sz w:val="22"/>
                <w:szCs w:val="22"/>
              </w:rPr>
              <w:t xml:space="preserve">. 5.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cesta autem do Florencie</w:t>
            </w:r>
          </w:p>
          <w:p w:rsidR="004B7F9D" w:rsidRDefault="00CF3B5C" w:rsidP="00CF3B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4B7F9D" w:rsidRPr="00BD47C3">
              <w:rPr>
                <w:rFonts w:asciiTheme="minorHAnsi" w:hAnsiTheme="minorHAnsi" w:cstheme="minorHAnsi"/>
                <w:sz w:val="22"/>
                <w:szCs w:val="22"/>
              </w:rPr>
              <w:t>. 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31. 5. </w:t>
            </w:r>
            <w:r w:rsidR="004B7F9D" w:rsidRPr="00BD47C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4B7F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účast na konferenci QQML 2019</w:t>
            </w:r>
          </w:p>
          <w:p w:rsidR="004B7F9D" w:rsidRPr="004A0D9A" w:rsidRDefault="00CF3B5C" w:rsidP="00CF3B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6. cesta autem zpět do ČR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4B7F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84C45" w:rsidRPr="004A0D9A" w:rsidRDefault="004B7F9D" w:rsidP="00471D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Projekt 0142</w:t>
            </w:r>
            <w:r w:rsidR="00CF3B5C">
              <w:rPr>
                <w:rFonts w:asciiTheme="minorHAnsi" w:hAnsiTheme="minorHAnsi" w:cstheme="minorHAnsi"/>
                <w:sz w:val="22"/>
                <w:szCs w:val="22"/>
              </w:rPr>
              <w:t xml:space="preserve"> IN-PROVE</w:t>
            </w:r>
          </w:p>
        </w:tc>
      </w:tr>
      <w:tr w:rsidR="004A0D9A" w:rsidRPr="004A0D9A" w:rsidTr="00294D26">
        <w:trPr>
          <w:trHeight w:val="318"/>
        </w:trPr>
        <w:tc>
          <w:tcPr>
            <w:tcW w:w="3614" w:type="dxa"/>
          </w:tcPr>
          <w:p w:rsidR="004A0D9A" w:rsidRPr="004B7F9D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F9D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CF3B5C" w:rsidRDefault="004B7F9D" w:rsidP="00CF3B5C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Účast na </w:t>
            </w:r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>mezinárodní konferenci QQML 2019</w:t>
            </w:r>
            <w:r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11th </w:t>
            </w:r>
            <w:proofErr w:type="spellStart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>Qualitative</w:t>
            </w:r>
            <w:proofErr w:type="spellEnd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>Quantitative</w:t>
            </w:r>
            <w:proofErr w:type="spellEnd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>Methods</w:t>
            </w:r>
            <w:proofErr w:type="spellEnd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CF3B5C" w:rsidRPr="00CF3B5C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CF3B5C">
              <w:rPr>
                <w:rFonts w:asciiTheme="minorHAnsi" w:hAnsiTheme="minorHAnsi" w:cstheme="minorHAnsi"/>
                <w:sz w:val="22"/>
                <w:szCs w:val="22"/>
              </w:rPr>
              <w:t>. Přednesení odborných příspěvků na téma dlouhodobého uchování fyzického kulturního dědictví, pře</w:t>
            </w:r>
            <w:r w:rsidR="00783ED1" w:rsidRPr="00CF3B5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stavení projektu </w:t>
            </w:r>
            <w:proofErr w:type="gramStart"/>
            <w:r w:rsidRPr="00CF3B5C">
              <w:rPr>
                <w:rFonts w:asciiTheme="minorHAnsi" w:hAnsiTheme="minorHAnsi" w:cstheme="minorHAnsi"/>
                <w:sz w:val="22"/>
                <w:szCs w:val="22"/>
              </w:rPr>
              <w:t xml:space="preserve">IN-PROVE: </w:t>
            </w:r>
            <w:r w:rsidRPr="00CF3B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budování</w:t>
            </w:r>
            <w:proofErr w:type="gramEnd"/>
            <w:r w:rsidRPr="00CF3B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Integrovaného prostředí pro </w:t>
            </w:r>
            <w:proofErr w:type="spellStart"/>
            <w:r w:rsidRPr="00CF3B5C">
              <w:rPr>
                <w:rFonts w:asciiTheme="minorHAnsi" w:hAnsiTheme="minorHAnsi" w:cstheme="minorHAnsi"/>
                <w:bCs/>
                <w:sz w:val="22"/>
                <w:szCs w:val="22"/>
              </w:rPr>
              <w:t>PRůzkum</w:t>
            </w:r>
            <w:proofErr w:type="spellEnd"/>
            <w:r w:rsidRPr="00CF3B5C">
              <w:rPr>
                <w:rFonts w:asciiTheme="minorHAnsi" w:hAnsiTheme="minorHAnsi" w:cstheme="minorHAnsi"/>
                <w:bCs/>
                <w:sz w:val="22"/>
                <w:szCs w:val="22"/>
              </w:rPr>
              <w:t>, Ochranu, Výzkum a Evidenci novodobých knihovních dokumentů (2016 - 2020).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</w:t>
            </w:r>
            <w:bookmarkStart w:id="0" w:name="_GoBack"/>
            <w:bookmarkEnd w:id="0"/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sty (konkrétně)</w:t>
            </w:r>
          </w:p>
        </w:tc>
        <w:tc>
          <w:tcPr>
            <w:tcW w:w="5598" w:type="dxa"/>
            <w:gridSpan w:val="2"/>
          </w:tcPr>
          <w:p w:rsidR="008F29C0" w:rsidRPr="00ED131A" w:rsidRDefault="004B7F9D" w:rsidP="009F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Pracovníci se účastnili odborného programu konference, který byl rozdělen do několika dílčích sekcí, například: Use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Qualitative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Quantitative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Methodologies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Human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development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, Digital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Repositories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and Digital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, Technologies as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83ED1" w:rsidRPr="00ED131A">
              <w:rPr>
                <w:rFonts w:asciiTheme="minorHAnsi" w:hAnsiTheme="minorHAnsi" w:cstheme="minorHAnsi"/>
                <w:sz w:val="22"/>
                <w:szCs w:val="22"/>
              </w:rPr>
              <w:t>Poster session.</w:t>
            </w:r>
          </w:p>
          <w:p w:rsidR="00690764" w:rsidRPr="00ED131A" w:rsidRDefault="00690764" w:rsidP="009F5D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Tomáš Foltýn moderoval sekci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Social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Networks</w:t>
            </w:r>
            <w:proofErr w:type="spellEnd"/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783ED1" w:rsidRPr="00ED131A" w:rsidRDefault="00783ED1" w:rsidP="006907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>Pracovníci rovněž přednesli vlastní příspěvky představující činnost projektu IN</w:t>
            </w:r>
            <w:r w:rsidR="00992D53" w:rsidRPr="00ED131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>PROVE a celkově koncepci</w:t>
            </w: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dlouhodobého uchování fyzického kulturního dědictví, včetně knižních statků. A. Cajthamlová přednesla příspěvek s názvem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Management and Long-term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Preservation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of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Modern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Book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Collections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Cooperative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System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Czech Republic</w:t>
            </w:r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T. Foltýn přednesl příspěvek </w:t>
            </w:r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IN-PROVE: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Software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Development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for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Effective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Digitization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and Long-term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Preservation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of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Modern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Library</w:t>
            </w:r>
            <w:proofErr w:type="spellEnd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690764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Collections</w:t>
            </w:r>
            <w:proofErr w:type="spellEnd"/>
            <w:r w:rsidR="00992D53" w:rsidRPr="00ED131A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690764" w:rsidRPr="00ED1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690764" w:rsidRDefault="00690764" w:rsidP="00690764">
            <w:pPr>
              <w:tabs>
                <w:tab w:val="left" w:pos="1920"/>
                <w:tab w:val="left" w:pos="4192"/>
              </w:tabs>
              <w:jc w:val="both"/>
            </w:pPr>
            <w:hyperlink r:id="rId11" w:history="1">
              <w:r>
                <w:rPr>
                  <w:rStyle w:val="Hypertextovodkaz"/>
                </w:rPr>
                <w:t>http://qqml.org/wp-content/uploads/2017/09/Conference-Program_22_05_2019.pdf</w:t>
              </w:r>
            </w:hyperlink>
          </w:p>
          <w:p w:rsidR="004A0D9A" w:rsidRPr="004A0D9A" w:rsidRDefault="00690764" w:rsidP="00690764">
            <w:pPr>
              <w:tabs>
                <w:tab w:val="left" w:pos="1920"/>
                <w:tab w:val="left" w:pos="419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294D26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690764" w:rsidP="007B64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F711B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294D26">
        <w:tc>
          <w:tcPr>
            <w:tcW w:w="3614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294D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C531FF" w:rsidRDefault="00C531FF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992D53" w:rsidRDefault="00785EA8" w:rsidP="006F3066">
      <w:pPr>
        <w:rPr>
          <w:lang w:val="en-GB"/>
        </w:rPr>
      </w:pPr>
      <w:proofErr w:type="spellStart"/>
      <w:r>
        <w:rPr>
          <w:lang w:val="en-GB"/>
        </w:rPr>
        <w:t>Abstrakty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příspěvků</w:t>
      </w:r>
      <w:proofErr w:type="spellEnd"/>
      <w:r>
        <w:rPr>
          <w:lang w:val="en-GB"/>
        </w:rPr>
        <w:t>:</w:t>
      </w:r>
    </w:p>
    <w:p w:rsidR="00785EA8" w:rsidRDefault="00785EA8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785EA8" w:rsidRDefault="00785EA8" w:rsidP="006F3066">
      <w:pPr>
        <w:rPr>
          <w:lang w:val="en-GB"/>
        </w:rPr>
      </w:pPr>
    </w:p>
    <w:p w:rsidR="00690764" w:rsidRPr="00690764" w:rsidRDefault="00690764" w:rsidP="00690764">
      <w:pPr>
        <w:jc w:val="center"/>
        <w:rPr>
          <w:b/>
        </w:rPr>
      </w:pPr>
      <w:r w:rsidRPr="00690764">
        <w:rPr>
          <w:b/>
        </w:rPr>
        <w:t xml:space="preserve">IN-PROVE: </w:t>
      </w:r>
      <w:proofErr w:type="spellStart"/>
      <w:r w:rsidRPr="00690764">
        <w:rPr>
          <w:b/>
        </w:rPr>
        <w:t>The</w:t>
      </w:r>
      <w:proofErr w:type="spellEnd"/>
      <w:r w:rsidRPr="00690764">
        <w:rPr>
          <w:b/>
        </w:rPr>
        <w:t xml:space="preserve"> Software </w:t>
      </w:r>
      <w:proofErr w:type="spellStart"/>
      <w:r w:rsidRPr="00690764">
        <w:rPr>
          <w:b/>
        </w:rPr>
        <w:t>Development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for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the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Effective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Digitization</w:t>
      </w:r>
      <w:proofErr w:type="spellEnd"/>
      <w:r w:rsidRPr="00690764">
        <w:rPr>
          <w:b/>
        </w:rPr>
        <w:t xml:space="preserve"> and Long-term </w:t>
      </w:r>
      <w:proofErr w:type="spellStart"/>
      <w:r w:rsidRPr="00690764">
        <w:rPr>
          <w:b/>
        </w:rPr>
        <w:t>Preservation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of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the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Modern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Library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Collections</w:t>
      </w:r>
      <w:proofErr w:type="spellEnd"/>
    </w:p>
    <w:p w:rsidR="00690764" w:rsidRDefault="00690764" w:rsidP="00690764">
      <w:pPr>
        <w:jc w:val="center"/>
      </w:pPr>
      <w:r>
        <w:t xml:space="preserve">Tomas </w:t>
      </w:r>
      <w:proofErr w:type="spellStart"/>
      <w:r>
        <w:t>Foltyn</w:t>
      </w:r>
      <w:proofErr w:type="spellEnd"/>
    </w:p>
    <w:p w:rsidR="00690764" w:rsidRPr="00690764" w:rsidRDefault="00690764" w:rsidP="00690764">
      <w:pPr>
        <w:jc w:val="center"/>
        <w:rPr>
          <w:i/>
        </w:rPr>
      </w:pPr>
      <w:proofErr w:type="spellStart"/>
      <w:r w:rsidRPr="00690764">
        <w:rPr>
          <w:i/>
        </w:rPr>
        <w:t>Collections</w:t>
      </w:r>
      <w:proofErr w:type="spellEnd"/>
      <w:r w:rsidRPr="00690764">
        <w:rPr>
          <w:i/>
        </w:rPr>
        <w:t xml:space="preserve">’ Management </w:t>
      </w:r>
      <w:proofErr w:type="spellStart"/>
      <w:r w:rsidRPr="00690764">
        <w:rPr>
          <w:i/>
        </w:rPr>
        <w:t>Division</w:t>
      </w:r>
      <w:proofErr w:type="spellEnd"/>
      <w:r w:rsidRPr="00690764">
        <w:rPr>
          <w:i/>
        </w:rPr>
        <w:t xml:space="preserve"> </w:t>
      </w:r>
      <w:proofErr w:type="spellStart"/>
      <w:r w:rsidRPr="00690764">
        <w:rPr>
          <w:i/>
        </w:rPr>
        <w:t>Director</w:t>
      </w:r>
      <w:proofErr w:type="spellEnd"/>
      <w:r w:rsidRPr="00690764">
        <w:rPr>
          <w:i/>
        </w:rPr>
        <w:t xml:space="preserve">, </w:t>
      </w:r>
      <w:proofErr w:type="spellStart"/>
      <w:r w:rsidRPr="00690764">
        <w:rPr>
          <w:i/>
        </w:rPr>
        <w:t>National</w:t>
      </w:r>
      <w:proofErr w:type="spellEnd"/>
      <w:r w:rsidRPr="00690764">
        <w:rPr>
          <w:i/>
        </w:rPr>
        <w:t xml:space="preserve"> </w:t>
      </w:r>
      <w:proofErr w:type="spellStart"/>
      <w:r w:rsidRPr="00690764">
        <w:rPr>
          <w:i/>
        </w:rPr>
        <w:t>Library</w:t>
      </w:r>
      <w:proofErr w:type="spellEnd"/>
      <w:r w:rsidRPr="00690764">
        <w:rPr>
          <w:i/>
        </w:rPr>
        <w:t xml:space="preserve"> </w:t>
      </w:r>
      <w:proofErr w:type="spellStart"/>
      <w:r w:rsidRPr="00690764">
        <w:rPr>
          <w:i/>
        </w:rPr>
        <w:t>of</w:t>
      </w:r>
      <w:proofErr w:type="spellEnd"/>
      <w:r w:rsidRPr="00690764">
        <w:rPr>
          <w:i/>
        </w:rPr>
        <w:t xml:space="preserve"> Czech Republic</w:t>
      </w:r>
    </w:p>
    <w:p w:rsidR="00690764" w:rsidRDefault="00690764" w:rsidP="00785EA8"/>
    <w:p w:rsidR="00785EA8" w:rsidRDefault="00690764" w:rsidP="00690764">
      <w:pPr>
        <w:jc w:val="both"/>
        <w:rPr>
          <w:lang w:val="en-GB"/>
        </w:rPr>
      </w:pPr>
      <w:proofErr w:type="spellStart"/>
      <w:r>
        <w:t>Abstract</w:t>
      </w:r>
      <w:proofErr w:type="spellEnd"/>
      <w:r>
        <w:t xml:space="preserve">: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2000 </w:t>
      </w:r>
      <w:proofErr w:type="spellStart"/>
      <w:r>
        <w:t>new</w:t>
      </w:r>
      <w:proofErr w:type="spellEnd"/>
      <w:r>
        <w:t xml:space="preserve"> Czech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VISK 7 </w:t>
      </w:r>
      <w:proofErr w:type="spellStart"/>
      <w:r>
        <w:t>aimed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Czech </w:t>
      </w:r>
      <w:proofErr w:type="spellStart"/>
      <w:r>
        <w:t>Government</w:t>
      </w:r>
      <w:proofErr w:type="spellEnd"/>
      <w:r>
        <w:t xml:space="preserve">. </w:t>
      </w:r>
      <w:proofErr w:type="spellStart"/>
      <w:r>
        <w:t>Probably</w:t>
      </w:r>
      <w:proofErr w:type="spellEnd"/>
      <w:r>
        <w:t xml:space="preserve"> no </w:t>
      </w:r>
      <w:proofErr w:type="spellStart"/>
      <w:r>
        <w:t>one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politicians</w:t>
      </w:r>
      <w:proofErr w:type="spellEnd"/>
      <w:r>
        <w:t xml:space="preserve">, nor </w:t>
      </w:r>
      <w:proofErr w:type="spellStart"/>
      <w:r>
        <w:t>librarians</w:t>
      </w:r>
      <w:proofErr w:type="spellEnd"/>
      <w:r>
        <w:t xml:space="preserve">, had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program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open in 2019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more and more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many </w:t>
      </w:r>
      <w:proofErr w:type="spellStart"/>
      <w:r>
        <w:t>fields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librarianship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and </w:t>
      </w:r>
      <w:proofErr w:type="spellStart"/>
      <w:r>
        <w:t>digitization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endangered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degradation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15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and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practices</w:t>
      </w:r>
      <w:proofErr w:type="spellEnd"/>
      <w:r>
        <w:t xml:space="preserve"> and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VISK 7 program. </w:t>
      </w:r>
      <w:proofErr w:type="spellStart"/>
      <w:r>
        <w:t>It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optimize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),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more </w:t>
      </w:r>
      <w:proofErr w:type="spellStart"/>
      <w:r>
        <w:t>effective</w:t>
      </w:r>
      <w:proofErr w:type="spellEnd"/>
      <w:r>
        <w:t xml:space="preserve"> and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managerial</w:t>
      </w:r>
      <w:proofErr w:type="spellEnd"/>
      <w:r>
        <w:t xml:space="preserve"> </w:t>
      </w:r>
      <w:proofErr w:type="spellStart"/>
      <w:r>
        <w:t>decisionmaking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.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early </w:t>
      </w:r>
      <w:proofErr w:type="spellStart"/>
      <w:r>
        <w:t>beginning</w:t>
      </w:r>
      <w:proofErr w:type="spellEnd"/>
      <w:r>
        <w:t xml:space="preserve"> VISK 7 program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participated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microfilming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</w:t>
      </w:r>
      <w:proofErr w:type="spellStart"/>
      <w:r>
        <w:t>round</w:t>
      </w:r>
      <w:proofErr w:type="spellEnd"/>
      <w:r>
        <w:t xml:space="preserve"> 2005 so </w:t>
      </w:r>
      <w:proofErr w:type="spellStart"/>
      <w:r>
        <w:t>called</w:t>
      </w:r>
      <w:proofErr w:type="spellEnd"/>
      <w:r>
        <w:t xml:space="preserve"> hybrid technology (</w:t>
      </w:r>
      <w:proofErr w:type="spellStart"/>
      <w:r>
        <w:t>microfilms</w:t>
      </w:r>
      <w:proofErr w:type="spellEnd"/>
      <w:r>
        <w:t xml:space="preserve"> and </w:t>
      </w:r>
      <w:proofErr w:type="spellStart"/>
      <w:r>
        <w:t>digital</w:t>
      </w:r>
      <w:proofErr w:type="spellEnd"/>
      <w:r>
        <w:t xml:space="preserve"> copy </w:t>
      </w:r>
      <w:proofErr w:type="spellStart"/>
      <w:r>
        <w:t>together</w:t>
      </w:r>
      <w:proofErr w:type="spellEnd"/>
      <w:r>
        <w:t xml:space="preserve">)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reformatting</w:t>
      </w:r>
      <w:proofErr w:type="spellEnd"/>
      <w:r>
        <w:t xml:space="preserve"> and </w:t>
      </w:r>
      <w:proofErr w:type="spellStart"/>
      <w:r>
        <w:t>round</w:t>
      </w:r>
      <w:proofErr w:type="spellEnd"/>
      <w:r>
        <w:t xml:space="preserve"> 2010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to use just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copy.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decade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800 </w:t>
      </w:r>
      <w:proofErr w:type="spellStart"/>
      <w:r>
        <w:t>titles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digitized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6 000 000 </w:t>
      </w:r>
      <w:proofErr w:type="spellStart"/>
      <w:r>
        <w:t>pages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made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digitization</w:t>
      </w:r>
      <w:proofErr w:type="spellEnd"/>
      <w:r>
        <w:t xml:space="preserve"> so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Digitization</w:t>
      </w:r>
      <w:proofErr w:type="spellEnd"/>
      <w:r>
        <w:t xml:space="preserve"> Registry.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registry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digitized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librarians</w:t>
      </w:r>
      <w:proofErr w:type="spellEnd"/>
      <w:r>
        <w:t xml:space="preserve"> to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unwanted</w:t>
      </w:r>
      <w:proofErr w:type="spellEnd"/>
      <w:r>
        <w:t xml:space="preserve"> </w:t>
      </w:r>
      <w:proofErr w:type="spellStart"/>
      <w:r>
        <w:t>duplicities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digitization</w:t>
      </w:r>
      <w:proofErr w:type="spellEnd"/>
      <w:r>
        <w:t xml:space="preserve"> and to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digitization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2010, but </w:t>
      </w:r>
      <w:proofErr w:type="spellStart"/>
      <w:r>
        <w:t>during</w:t>
      </w:r>
      <w:proofErr w:type="spellEnd"/>
      <w:r>
        <w:t xml:space="preserve"> last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last </w:t>
      </w:r>
      <w:proofErr w:type="spellStart"/>
      <w:r>
        <w:t>years</w:t>
      </w:r>
      <w:proofErr w:type="spellEnd"/>
      <w:r>
        <w:t xml:space="preserve">, VISK 7 program </w:t>
      </w:r>
      <w:proofErr w:type="spellStart"/>
      <w:r>
        <w:t>is</w:t>
      </w:r>
      <w:proofErr w:type="spellEnd"/>
      <w:r>
        <w:t xml:space="preserve"> more and more open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support long-term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newspapers</w:t>
      </w:r>
      <w:proofErr w:type="spellEnd"/>
      <w:r>
        <w:t xml:space="preserve"> –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deacidification</w:t>
      </w:r>
      <w:proofErr w:type="spellEnd"/>
      <w:r>
        <w:t xml:space="preserve">, </w:t>
      </w:r>
      <w:proofErr w:type="spellStart"/>
      <w:r>
        <w:t>conservation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sleeves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acid-free </w:t>
      </w:r>
      <w:proofErr w:type="spellStart"/>
      <w:r>
        <w:t>cardboard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place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. </w:t>
      </w:r>
      <w:proofErr w:type="spellStart"/>
      <w:r>
        <w:t>Building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step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VISK 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linking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 xml:space="preserve"> software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running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VISK 7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,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benefits</w:t>
      </w:r>
      <w:proofErr w:type="spellEnd"/>
      <w:r>
        <w:t xml:space="preserve">, and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gramStart"/>
      <w:r>
        <w:t xml:space="preserve">are </w:t>
      </w:r>
      <w:proofErr w:type="spellStart"/>
      <w:r>
        <w:t>used</w:t>
      </w:r>
      <w:proofErr w:type="spellEnd"/>
      <w:proofErr w:type="gramEnd"/>
      <w:r>
        <w:t xml:space="preserve"> to support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digitization</w:t>
      </w:r>
      <w:proofErr w:type="spellEnd"/>
      <w:r>
        <w:t xml:space="preserve"> and long-term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realized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via </w:t>
      </w:r>
      <w:proofErr w:type="spellStart"/>
      <w:r>
        <w:t>the</w:t>
      </w:r>
      <w:proofErr w:type="spellEnd"/>
      <w:r>
        <w:t xml:space="preserve"> IN-PROVE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Czech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>.</w:t>
      </w:r>
    </w:p>
    <w:p w:rsidR="00785EA8" w:rsidRDefault="00785EA8" w:rsidP="00690764">
      <w:pPr>
        <w:jc w:val="both"/>
        <w:rPr>
          <w:lang w:val="en-GB"/>
        </w:rPr>
      </w:pPr>
    </w:p>
    <w:p w:rsidR="00785EA8" w:rsidRDefault="00785EA8" w:rsidP="00785EA8">
      <w:pPr>
        <w:rPr>
          <w:lang w:val="en-GB"/>
        </w:rPr>
      </w:pPr>
    </w:p>
    <w:p w:rsidR="00690764" w:rsidRPr="00690764" w:rsidRDefault="00690764" w:rsidP="00690764">
      <w:pPr>
        <w:jc w:val="center"/>
        <w:rPr>
          <w:b/>
        </w:rPr>
      </w:pPr>
      <w:proofErr w:type="spellStart"/>
      <w:r w:rsidRPr="00690764">
        <w:rPr>
          <w:b/>
        </w:rPr>
        <w:lastRenderedPageBreak/>
        <w:t>The</w:t>
      </w:r>
      <w:proofErr w:type="spellEnd"/>
      <w:r w:rsidRPr="00690764">
        <w:rPr>
          <w:b/>
        </w:rPr>
        <w:t xml:space="preserve"> Management and Long-term </w:t>
      </w:r>
      <w:proofErr w:type="spellStart"/>
      <w:r w:rsidRPr="00690764">
        <w:rPr>
          <w:b/>
        </w:rPr>
        <w:t>Preservation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of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Modern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Book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Collections</w:t>
      </w:r>
      <w:proofErr w:type="spellEnd"/>
      <w:r w:rsidRPr="00690764">
        <w:rPr>
          <w:b/>
        </w:rPr>
        <w:t xml:space="preserve"> - </w:t>
      </w:r>
      <w:proofErr w:type="spellStart"/>
      <w:r w:rsidRPr="00690764">
        <w:rPr>
          <w:b/>
        </w:rPr>
        <w:t>The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Cooperative</w:t>
      </w:r>
      <w:proofErr w:type="spellEnd"/>
      <w:r w:rsidRPr="00690764">
        <w:rPr>
          <w:b/>
        </w:rPr>
        <w:t xml:space="preserve"> </w:t>
      </w:r>
      <w:proofErr w:type="spellStart"/>
      <w:r w:rsidRPr="00690764">
        <w:rPr>
          <w:b/>
        </w:rPr>
        <w:t>System</w:t>
      </w:r>
      <w:proofErr w:type="spellEnd"/>
      <w:r w:rsidRPr="00690764">
        <w:rPr>
          <w:b/>
        </w:rPr>
        <w:t xml:space="preserve"> in </w:t>
      </w:r>
      <w:proofErr w:type="spellStart"/>
      <w:r w:rsidRPr="00690764">
        <w:rPr>
          <w:b/>
        </w:rPr>
        <w:t>the</w:t>
      </w:r>
      <w:proofErr w:type="spellEnd"/>
      <w:r w:rsidRPr="00690764">
        <w:rPr>
          <w:b/>
        </w:rPr>
        <w:t xml:space="preserve"> Czech Republic</w:t>
      </w:r>
    </w:p>
    <w:p w:rsidR="00690764" w:rsidRPr="00690764" w:rsidRDefault="00690764" w:rsidP="00690764">
      <w:pPr>
        <w:jc w:val="center"/>
        <w:rPr>
          <w:i/>
        </w:rPr>
      </w:pPr>
      <w:r w:rsidRPr="00690764">
        <w:rPr>
          <w:i/>
        </w:rPr>
        <w:t>Mgr. Anna Cajthamlova1 , Mgr. Tomas Foltyn2</w:t>
      </w:r>
    </w:p>
    <w:p w:rsidR="00690764" w:rsidRDefault="00690764" w:rsidP="00785EA8">
      <w:r>
        <w:t xml:space="preserve">1Head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Republic, Czech Republic </w:t>
      </w:r>
    </w:p>
    <w:p w:rsidR="00690764" w:rsidRDefault="00690764" w:rsidP="00785EA8">
      <w:r>
        <w:t xml:space="preserve">2Collection´s Management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Republic, Czech Republic </w:t>
      </w:r>
    </w:p>
    <w:p w:rsidR="00690764" w:rsidRDefault="00690764" w:rsidP="00785EA8"/>
    <w:p w:rsidR="00992D53" w:rsidRPr="00131B88" w:rsidRDefault="00690764" w:rsidP="00ED131A">
      <w:pPr>
        <w:jc w:val="both"/>
        <w:rPr>
          <w:lang w:val="en-GB"/>
        </w:rPr>
      </w:pPr>
      <w:proofErr w:type="spellStart"/>
      <w:r>
        <w:t>Abstract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long-term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in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: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Czech Republic,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in Olomouc and </w:t>
      </w:r>
      <w:proofErr w:type="spellStart"/>
      <w:r>
        <w:t>Moravian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care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But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</w:t>
      </w:r>
      <w:proofErr w:type="spellStart"/>
      <w:r>
        <w:t>precise</w:t>
      </w:r>
      <w:proofErr w:type="spellEnd"/>
      <w:r>
        <w:t xml:space="preserve"> evidence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are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to these </w:t>
      </w:r>
      <w:proofErr w:type="spellStart"/>
      <w:r>
        <w:t>collections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past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no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, no </w:t>
      </w:r>
      <w:proofErr w:type="spellStart"/>
      <w:r>
        <w:t>digitization</w:t>
      </w:r>
      <w:proofErr w:type="spellEnd"/>
      <w:r>
        <w:t xml:space="preserve"> as a </w:t>
      </w:r>
      <w:proofErr w:type="spellStart"/>
      <w:r>
        <w:t>protection</w:t>
      </w:r>
      <w:proofErr w:type="spellEnd"/>
      <w:r>
        <w:t xml:space="preserve">. But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.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ago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cooperative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management and long-term </w:t>
      </w:r>
      <w:proofErr w:type="spellStart"/>
      <w:r>
        <w:t>preservation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Czech </w:t>
      </w:r>
      <w:proofErr w:type="spellStart"/>
      <w:r>
        <w:t>libraries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. </w:t>
      </w:r>
      <w:proofErr w:type="spellStart"/>
      <w:r>
        <w:t>Nowadays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single public </w:t>
      </w:r>
      <w:proofErr w:type="spellStart"/>
      <w:r>
        <w:t>library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deacidification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by many </w:t>
      </w:r>
      <w:proofErr w:type="spellStart"/>
      <w:proofErr w:type="gramStart"/>
      <w:r>
        <w:t>libraries</w:t>
      </w:r>
      <w:proofErr w:type="spellEnd"/>
      <w:r>
        <w:t xml:space="preserve"> e. g.</w:t>
      </w:r>
      <w:proofErr w:type="gramEnd"/>
      <w:r>
        <w:t xml:space="preserve"> </w:t>
      </w:r>
      <w:proofErr w:type="spellStart"/>
      <w:r>
        <w:t>Digitization</w:t>
      </w:r>
      <w:proofErr w:type="spellEnd"/>
      <w:r>
        <w:t xml:space="preserve"> Registry, </w:t>
      </w:r>
      <w:proofErr w:type="spellStart"/>
      <w:r>
        <w:t>The</w:t>
      </w:r>
      <w:proofErr w:type="spellEnd"/>
      <w:r>
        <w:t xml:space="preserve"> Registry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Deacidification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 are </w:t>
      </w:r>
      <w:proofErr w:type="spellStart"/>
      <w:r>
        <w:t>developed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guides</w:t>
      </w:r>
      <w:proofErr w:type="spellEnd"/>
      <w:r>
        <w:t xml:space="preserve"> –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realize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build</w:t>
      </w:r>
      <w:proofErr w:type="spellEnd"/>
      <w:r>
        <w:t xml:space="preserve"> and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these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best-practices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documents</w:t>
      </w:r>
      <w:proofErr w:type="spellEnd"/>
      <w:r>
        <w:t xml:space="preserve"> in these </w:t>
      </w:r>
      <w:proofErr w:type="spellStart"/>
      <w:r>
        <w:t>collections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 –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libraries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archival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>.</w:t>
      </w:r>
    </w:p>
    <w:sectPr w:rsidR="00992D53" w:rsidRPr="00131B8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1E" w:rsidRDefault="00B7721E">
      <w:r>
        <w:separator/>
      </w:r>
    </w:p>
  </w:endnote>
  <w:endnote w:type="continuationSeparator" w:id="0">
    <w:p w:rsidR="00B7721E" w:rsidRDefault="00B7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4756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F976F7" w:rsidRPr="004A0D9A" w:rsidRDefault="00F976F7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976F7" w:rsidRPr="004A0D9A" w:rsidRDefault="00F976F7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F976F7" w:rsidRPr="00CA5218" w:rsidRDefault="00F976F7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1E" w:rsidRDefault="00B7721E">
      <w:r>
        <w:separator/>
      </w:r>
    </w:p>
  </w:footnote>
  <w:footnote w:type="continuationSeparator" w:id="0">
    <w:p w:rsidR="00B7721E" w:rsidRDefault="00B7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F7" w:rsidRDefault="00F976F7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76F7" w:rsidRDefault="00F976F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15533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36"/>
    <w:rsid w:val="000213CE"/>
    <w:rsid w:val="000242DC"/>
    <w:rsid w:val="00031E53"/>
    <w:rsid w:val="00055AD7"/>
    <w:rsid w:val="0006007D"/>
    <w:rsid w:val="00081212"/>
    <w:rsid w:val="00120F10"/>
    <w:rsid w:val="00131B88"/>
    <w:rsid w:val="001343BE"/>
    <w:rsid w:val="00153BB3"/>
    <w:rsid w:val="00167FCD"/>
    <w:rsid w:val="00171E27"/>
    <w:rsid w:val="001B1E3A"/>
    <w:rsid w:val="001B54A3"/>
    <w:rsid w:val="001C6564"/>
    <w:rsid w:val="001F2C1D"/>
    <w:rsid w:val="00247F9A"/>
    <w:rsid w:val="00281DF0"/>
    <w:rsid w:val="00294D26"/>
    <w:rsid w:val="002F7391"/>
    <w:rsid w:val="00311872"/>
    <w:rsid w:val="00313D49"/>
    <w:rsid w:val="00334959"/>
    <w:rsid w:val="00377A48"/>
    <w:rsid w:val="003A11DA"/>
    <w:rsid w:val="003E310A"/>
    <w:rsid w:val="00431ECD"/>
    <w:rsid w:val="004354A3"/>
    <w:rsid w:val="00466446"/>
    <w:rsid w:val="00471D67"/>
    <w:rsid w:val="00484C45"/>
    <w:rsid w:val="004A0D9A"/>
    <w:rsid w:val="004B7F9D"/>
    <w:rsid w:val="00522A75"/>
    <w:rsid w:val="0054197E"/>
    <w:rsid w:val="00570934"/>
    <w:rsid w:val="00595F10"/>
    <w:rsid w:val="005A21CE"/>
    <w:rsid w:val="005A4C55"/>
    <w:rsid w:val="005E141D"/>
    <w:rsid w:val="005E1E28"/>
    <w:rsid w:val="006019DC"/>
    <w:rsid w:val="0063054A"/>
    <w:rsid w:val="006319B3"/>
    <w:rsid w:val="00690764"/>
    <w:rsid w:val="00694270"/>
    <w:rsid w:val="006F3066"/>
    <w:rsid w:val="007435A1"/>
    <w:rsid w:val="00783ED1"/>
    <w:rsid w:val="00785EA8"/>
    <w:rsid w:val="00795BD8"/>
    <w:rsid w:val="007B64AD"/>
    <w:rsid w:val="00850342"/>
    <w:rsid w:val="00862C43"/>
    <w:rsid w:val="00882BFC"/>
    <w:rsid w:val="008A5B5C"/>
    <w:rsid w:val="008F29C0"/>
    <w:rsid w:val="009141A1"/>
    <w:rsid w:val="009161BC"/>
    <w:rsid w:val="009536C6"/>
    <w:rsid w:val="00967314"/>
    <w:rsid w:val="00992D53"/>
    <w:rsid w:val="009A2DF3"/>
    <w:rsid w:val="009B3CF4"/>
    <w:rsid w:val="009F5D7A"/>
    <w:rsid w:val="00A1481C"/>
    <w:rsid w:val="00A32F5B"/>
    <w:rsid w:val="00AC5936"/>
    <w:rsid w:val="00AD358B"/>
    <w:rsid w:val="00AF2098"/>
    <w:rsid w:val="00B331D6"/>
    <w:rsid w:val="00B47BA1"/>
    <w:rsid w:val="00B7721E"/>
    <w:rsid w:val="00B8010C"/>
    <w:rsid w:val="00B81E7A"/>
    <w:rsid w:val="00BA63B9"/>
    <w:rsid w:val="00BC7CE8"/>
    <w:rsid w:val="00BD47C3"/>
    <w:rsid w:val="00BF711B"/>
    <w:rsid w:val="00C20231"/>
    <w:rsid w:val="00C428A2"/>
    <w:rsid w:val="00C531FF"/>
    <w:rsid w:val="00C537E2"/>
    <w:rsid w:val="00C546A3"/>
    <w:rsid w:val="00C60714"/>
    <w:rsid w:val="00CA5218"/>
    <w:rsid w:val="00CA5FDF"/>
    <w:rsid w:val="00CB6050"/>
    <w:rsid w:val="00CD18DB"/>
    <w:rsid w:val="00CF3B5C"/>
    <w:rsid w:val="00CF78A0"/>
    <w:rsid w:val="00DB0D70"/>
    <w:rsid w:val="00DF228F"/>
    <w:rsid w:val="00DF28E6"/>
    <w:rsid w:val="00E04C8C"/>
    <w:rsid w:val="00E21964"/>
    <w:rsid w:val="00E348CC"/>
    <w:rsid w:val="00E50887"/>
    <w:rsid w:val="00E82423"/>
    <w:rsid w:val="00E93CB4"/>
    <w:rsid w:val="00EB3C90"/>
    <w:rsid w:val="00ED131A"/>
    <w:rsid w:val="00EF2B31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EBF760"/>
  <w15:docId w15:val="{812BEEF5-F365-480A-A2D2-F59F811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qqml.org/wp-content/uploads/2017/09/Conference-Program_22_05_2019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NDAS~1\LOCALS~1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823871-93C1-40A8-A3D9-3DB74D7B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45</TotalTime>
  <Pages>3</Pages>
  <Words>1058</Words>
  <Characters>6452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7496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Vandasová Anna</dc:creator>
  <cp:lastModifiedBy>Cajthamlová Anna</cp:lastModifiedBy>
  <cp:revision>4</cp:revision>
  <cp:lastPrinted>2015-12-14T10:46:00Z</cp:lastPrinted>
  <dcterms:created xsi:type="dcterms:W3CDTF">2019-06-12T14:04:00Z</dcterms:created>
  <dcterms:modified xsi:type="dcterms:W3CDTF">2019-06-20T12:47:00Z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