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A822C4">
            <w:pPr>
              <w:pStyle w:val="Nadpis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Mgr. Tomáš Foltýn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9F7098" w:rsidRDefault="0064056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1.3. Odbor správy fondů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4A0D9A" w:rsidRDefault="0064056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5551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Konference </w:t>
            </w:r>
            <w:r w:rsidR="005551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LIBER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4A0D9A" w:rsidRDefault="0055514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Helsinky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4A0D9A" w:rsidRDefault="0055514A" w:rsidP="00A822C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7222C" w:rsidRDefault="0055514A" w:rsidP="0055514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t>28</w:t>
            </w:r>
            <w:r w:rsidR="009C0635">
              <w:t>.</w:t>
            </w:r>
            <w:r>
              <w:t xml:space="preserve"> června</w:t>
            </w:r>
            <w:r w:rsidR="009C0635">
              <w:t xml:space="preserve"> – </w:t>
            </w:r>
            <w:r>
              <w:t>1. července</w:t>
            </w:r>
            <w:r w:rsidR="009C0635">
              <w:t xml:space="preserve">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142FDF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2FDF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BE63AD" w:rsidRDefault="0055514A" w:rsidP="009C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 6. – přílet do Helsinek, účast na recepci</w:t>
            </w:r>
          </w:p>
          <w:p w:rsidR="0055514A" w:rsidRDefault="0055514A" w:rsidP="009C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29.6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>. – 1.7. účast na konferenci</w:t>
            </w:r>
          </w:p>
          <w:p w:rsidR="0055514A" w:rsidRDefault="0055514A" w:rsidP="009C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1.7. odlet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Prahy</w:t>
            </w:r>
          </w:p>
          <w:p w:rsidR="0055514A" w:rsidRPr="00142FDF" w:rsidRDefault="0055514A" w:rsidP="009C063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4A0D9A" w:rsidRDefault="0055514A" w:rsidP="009C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Rozpočet NK ČR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BE63AD" w:rsidRPr="004A0D9A" w:rsidRDefault="00142FDF" w:rsidP="0055514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Účast na mezinárodní konferenci </w:t>
            </w:r>
            <w:r w:rsidR="0055514A">
              <w:rPr>
                <w:rFonts w:ascii="Calibri" w:hAnsi="Calibri"/>
                <w:sz w:val="22"/>
              </w:rPr>
              <w:t>LIBER</w:t>
            </w:r>
            <w:r>
              <w:rPr>
                <w:rFonts w:ascii="Calibri" w:hAnsi="Calibri"/>
                <w:sz w:val="22"/>
              </w:rPr>
              <w:t xml:space="preserve"> 201</w:t>
            </w:r>
            <w:r w:rsidR="009C0635">
              <w:rPr>
                <w:rFonts w:ascii="Calibri" w:hAnsi="Calibri"/>
                <w:sz w:val="22"/>
              </w:rPr>
              <w:t>6</w:t>
            </w:r>
            <w:r>
              <w:rPr>
                <w:rFonts w:ascii="Calibri" w:hAnsi="Calibri"/>
                <w:sz w:val="22"/>
              </w:rPr>
              <w:t xml:space="preserve"> – prohloubení znalostí v dané oblasti, navázání kontaktů, </w:t>
            </w:r>
            <w:r w:rsidR="0055514A">
              <w:rPr>
                <w:rFonts w:ascii="Calibri" w:hAnsi="Calibri"/>
                <w:sz w:val="22"/>
              </w:rPr>
              <w:t xml:space="preserve">prohloubení spolupráce s </w:t>
            </w:r>
            <w:r w:rsidR="0055514A" w:rsidRPr="0055514A">
              <w:rPr>
                <w:rFonts w:ascii="Calibri" w:hAnsi="Calibri"/>
                <w:sz w:val="22"/>
              </w:rPr>
              <w:t xml:space="preserve">Minority </w:t>
            </w:r>
            <w:proofErr w:type="spellStart"/>
            <w:r w:rsidR="0055514A" w:rsidRPr="0055514A">
              <w:rPr>
                <w:rFonts w:ascii="Calibri" w:hAnsi="Calibri"/>
                <w:sz w:val="22"/>
              </w:rPr>
              <w:t>Languages</w:t>
            </w:r>
            <w:proofErr w:type="spellEnd"/>
            <w:r w:rsidR="0055514A">
              <w:rPr>
                <w:rFonts w:ascii="Calibri" w:hAnsi="Calibri"/>
                <w:sz w:val="22"/>
              </w:rPr>
              <w:t xml:space="preserve"> projektem realizovaných ve Finské národní knihovně (zejména s </w:t>
            </w:r>
            <w:proofErr w:type="spellStart"/>
            <w:r w:rsidR="0055514A">
              <w:rPr>
                <w:rFonts w:ascii="Calibri" w:hAnsi="Calibri"/>
                <w:sz w:val="22"/>
              </w:rPr>
              <w:t>Jussi</w:t>
            </w:r>
            <w:proofErr w:type="spellEnd"/>
            <w:r w:rsidR="0055514A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55514A">
              <w:rPr>
                <w:rFonts w:ascii="Calibri" w:hAnsi="Calibri"/>
                <w:sz w:val="22"/>
              </w:rPr>
              <w:t>Pekkou</w:t>
            </w:r>
            <w:proofErr w:type="spellEnd"/>
            <w:r w:rsidR="0055514A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55514A">
              <w:rPr>
                <w:rFonts w:ascii="Calibri" w:hAnsi="Calibri"/>
                <w:sz w:val="22"/>
              </w:rPr>
              <w:t>Hakkarainenem</w:t>
            </w:r>
            <w:proofErr w:type="spellEnd"/>
            <w:r w:rsidR="0055514A">
              <w:rPr>
                <w:rFonts w:ascii="Calibri" w:hAnsi="Calibri"/>
                <w:sz w:val="22"/>
              </w:rPr>
              <w:t xml:space="preserve"> ohledně OCR).</w:t>
            </w:r>
            <w:r w:rsidR="0055514A" w:rsidRPr="0055514A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142FDF" w:rsidP="00BE63A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Viz níže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55514A" w:rsidP="00A32D5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5514A">
              <w:rPr>
                <w:rFonts w:asciiTheme="minorHAnsi" w:hAnsiTheme="minorHAnsi" w:cstheme="minorHAnsi"/>
                <w:sz w:val="22"/>
                <w:szCs w:val="22"/>
              </w:rPr>
              <w:t>http://liber2016.org/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3B0CED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4163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8A5B5C" w:rsidRDefault="008A5B5C" w:rsidP="00153BB3">
      <w:pPr>
        <w:outlineLvl w:val="0"/>
        <w:rPr>
          <w:rFonts w:asciiTheme="minorHAnsi" w:hAnsiTheme="minorHAnsi" w:cstheme="minorHAnsi"/>
          <w:sz w:val="22"/>
          <w:szCs w:val="22"/>
        </w:rPr>
      </w:pPr>
    </w:p>
    <w:p w:rsidR="00BE63AD" w:rsidRDefault="00142FDF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42FDF">
        <w:rPr>
          <w:rFonts w:ascii="Calibri" w:eastAsia="Calibri" w:hAnsi="Calibri"/>
          <w:sz w:val="22"/>
          <w:szCs w:val="22"/>
          <w:lang w:eastAsia="en-US"/>
        </w:rPr>
        <w:t xml:space="preserve">Podrobnější popis </w:t>
      </w:r>
      <w:r>
        <w:rPr>
          <w:rFonts w:ascii="Calibri" w:eastAsia="Calibri" w:hAnsi="Calibri"/>
          <w:sz w:val="22"/>
          <w:szCs w:val="22"/>
          <w:lang w:eastAsia="en-US"/>
        </w:rPr>
        <w:t>uskutečněných aktivit:</w:t>
      </w:r>
    </w:p>
    <w:p w:rsidR="009C0635" w:rsidRDefault="009C0635" w:rsidP="000E4AAE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0E4AAE" w:rsidRPr="009C0635" w:rsidRDefault="000E4AAE" w:rsidP="00EC0B5F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9C0635">
        <w:rPr>
          <w:rFonts w:ascii="Calibri" w:eastAsia="Calibri" w:hAnsi="Calibri"/>
          <w:b/>
          <w:sz w:val="22"/>
          <w:szCs w:val="22"/>
          <w:lang w:eastAsia="en-US"/>
        </w:rPr>
        <w:t xml:space="preserve">Účast na konferenci </w:t>
      </w:r>
      <w:r w:rsidR="0055514A">
        <w:rPr>
          <w:rFonts w:ascii="Calibri" w:eastAsia="Calibri" w:hAnsi="Calibri"/>
          <w:b/>
          <w:sz w:val="22"/>
          <w:szCs w:val="22"/>
          <w:lang w:eastAsia="en-US"/>
        </w:rPr>
        <w:t>LIBER</w:t>
      </w:r>
      <w:r w:rsidRPr="009C0635">
        <w:rPr>
          <w:rFonts w:ascii="Calibri" w:eastAsia="Calibri" w:hAnsi="Calibri"/>
          <w:b/>
          <w:sz w:val="22"/>
          <w:szCs w:val="22"/>
          <w:lang w:eastAsia="en-US"/>
        </w:rPr>
        <w:t xml:space="preserve"> 20</w:t>
      </w:r>
      <w:r w:rsidR="009C0635" w:rsidRPr="009C0635">
        <w:rPr>
          <w:rFonts w:ascii="Calibri" w:eastAsia="Calibri" w:hAnsi="Calibri"/>
          <w:b/>
          <w:sz w:val="22"/>
          <w:szCs w:val="22"/>
          <w:lang w:eastAsia="en-US"/>
        </w:rPr>
        <w:t>16</w:t>
      </w:r>
    </w:p>
    <w:p w:rsidR="0055514A" w:rsidRDefault="000E4AAE" w:rsidP="00EC0B5F">
      <w:pPr>
        <w:spacing w:line="276" w:lineRule="auto"/>
        <w:jc w:val="both"/>
      </w:pPr>
      <w:r>
        <w:rPr>
          <w:rFonts w:ascii="Calibri" w:eastAsia="Calibri" w:hAnsi="Calibri"/>
          <w:sz w:val="22"/>
          <w:szCs w:val="22"/>
          <w:lang w:eastAsia="en-US"/>
        </w:rPr>
        <w:t xml:space="preserve">Program: </w:t>
      </w:r>
      <w:hyperlink r:id="rId11" w:history="1">
        <w:r w:rsidR="0055514A" w:rsidRPr="0002413E">
          <w:rPr>
            <w:rStyle w:val="Hypertextovodkaz"/>
          </w:rPr>
          <w:t>http://liber2016.org/</w:t>
        </w:r>
      </w:hyperlink>
    </w:p>
    <w:p w:rsidR="000E4AAE" w:rsidRPr="009C0635" w:rsidRDefault="000E4AAE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9C0635">
        <w:rPr>
          <w:rFonts w:ascii="Calibri" w:eastAsia="Calibri" w:hAnsi="Calibri"/>
          <w:sz w:val="22"/>
          <w:szCs w:val="22"/>
          <w:u w:val="single"/>
          <w:lang w:eastAsia="en-US"/>
        </w:rPr>
        <w:t>Bližší informace:</w:t>
      </w:r>
    </w:p>
    <w:p w:rsidR="000E4AAE" w:rsidRDefault="000E4AAE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Účast na kompletním programu </w:t>
      </w:r>
      <w:r w:rsidR="000D64B4">
        <w:rPr>
          <w:rFonts w:ascii="Calibri" w:eastAsia="Calibri" w:hAnsi="Calibri"/>
          <w:sz w:val="22"/>
          <w:szCs w:val="22"/>
          <w:lang w:eastAsia="en-US"/>
        </w:rPr>
        <w:t>konference včetně workshopu k projektu FOSTER (ohledně Open-Science).</w:t>
      </w:r>
    </w:p>
    <w:p w:rsidR="000E4AAE" w:rsidRPr="009C0635" w:rsidRDefault="000E4AAE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9C0635">
        <w:rPr>
          <w:rFonts w:ascii="Calibri" w:eastAsia="Calibri" w:hAnsi="Calibri"/>
          <w:sz w:val="22"/>
          <w:szCs w:val="22"/>
          <w:u w:val="single"/>
          <w:lang w:eastAsia="en-US"/>
        </w:rPr>
        <w:t>Nejzajímavější vyslechnuté příspěvky:</w:t>
      </w:r>
    </w:p>
    <w:p w:rsidR="000E4AAE" w:rsidRDefault="000D64B4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Přednášky na sekci „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Library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as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Laboratory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“</w:t>
      </w:r>
    </w:p>
    <w:p w:rsidR="000D64B4" w:rsidRDefault="000D64B4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Digilab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at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University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Manchester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Library</w:t>
      </w:r>
      <w:proofErr w:type="spellEnd"/>
    </w:p>
    <w:p w:rsidR="000D64B4" w:rsidRDefault="000D64B4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SMARTlibrary</w:t>
      </w:r>
      <w:proofErr w:type="spellEnd"/>
    </w:p>
    <w:p w:rsidR="000D64B4" w:rsidRDefault="000D64B4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Obě přednášky se dotkly ožehavého tématu vytváření nových služeb technických a univerzitních knihoven pro mladé uživatele a potlačování distribuce tištěných fondů. V případě přednášky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Lorraine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Joanne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Beard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šlo o organizování typologicky různě zaměřených workshopů spojených s 3D tiskem, komunitním programováním, vytvářením a testování online her apod. Druhý případ z Dánské technické </w:t>
      </w:r>
    </w:p>
    <w:p w:rsidR="000D64B4" w:rsidRDefault="000D64B4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Knihovny řešil praktický dopad propojení nových technologií na fungování knihovny – doporučování nejvhodnějšího prostoru pro studium na základě teploty místností, hladiny osvětlení,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streamingu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dat či limitu zvuku. Dále akcentoval změnu knihovny do vize SMART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library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, tj. otevřeně žijícího prostoru, kde jsou na testování a praktické využití nové technologie, bez jakéhokoli limitu. V poslední části pak zazněly vize na užší propojení s komerčním sektorem. </w:t>
      </w:r>
    </w:p>
    <w:p w:rsidR="005979ED" w:rsidRDefault="005979ED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Service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Design as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Method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–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Library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Services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Developed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from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User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Needs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– Eva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Dahlbäck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 Martin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Wincent</w:t>
      </w:r>
      <w:proofErr w:type="spellEnd"/>
    </w:p>
    <w:p w:rsidR="005979ED" w:rsidRDefault="005979ED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rámci přednášky byly prezentovány výstupy výzkumu user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need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v Stockholmské univerzitní knihovně ve vazbě na úpravy interních knihovních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workflow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například v oblasti doručování knih ze skladů, doporučování obsahu, ale i například značení komunikačních koridorů uvnitř knihovny. Všechny tyto činnosti jsou na základě výše uvedeného výzkumu realizované prostřednictvím mobilních aplikací s velkým důrazem na funkčnost řešení. </w:t>
      </w:r>
      <w:bookmarkStart w:id="0" w:name="_GoBack"/>
      <w:bookmarkEnd w:id="0"/>
    </w:p>
    <w:p w:rsidR="005979ED" w:rsidRDefault="005979ED" w:rsidP="00EC0B5F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Digital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In and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Out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of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the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Library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– Peter Leonard</w:t>
      </w:r>
    </w:p>
    <w:p w:rsidR="00BE63AD" w:rsidRDefault="005979ED" w:rsidP="005979ED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5979ED">
        <w:rPr>
          <w:rFonts w:ascii="Calibri" w:eastAsia="Calibri" w:hAnsi="Calibri"/>
          <w:sz w:val="22"/>
          <w:szCs w:val="22"/>
          <w:lang w:eastAsia="en-US"/>
        </w:rPr>
        <w:t>Knihovny jsou stále č</w:t>
      </w:r>
      <w:r>
        <w:rPr>
          <w:rFonts w:ascii="Calibri" w:eastAsia="Calibri" w:hAnsi="Calibri"/>
          <w:sz w:val="22"/>
          <w:szCs w:val="22"/>
          <w:lang w:eastAsia="en-US"/>
        </w:rPr>
        <w:t xml:space="preserve">astěji vyzývány, aby pomohl vědecké obci třídit a smysluplně užívat velké množství </w:t>
      </w:r>
      <w:r w:rsidRPr="005979ED">
        <w:rPr>
          <w:rFonts w:ascii="Calibri" w:eastAsia="Calibri" w:hAnsi="Calibri"/>
          <w:sz w:val="22"/>
          <w:szCs w:val="22"/>
          <w:lang w:eastAsia="en-US"/>
        </w:rPr>
        <w:t xml:space="preserve"> digitalizovaného kulturního materiálu. I když </w:t>
      </w:r>
      <w:r>
        <w:rPr>
          <w:rFonts w:ascii="Calibri" w:eastAsia="Calibri" w:hAnsi="Calibri"/>
          <w:sz w:val="22"/>
          <w:szCs w:val="22"/>
          <w:lang w:eastAsia="en-US"/>
        </w:rPr>
        <w:t xml:space="preserve">se tyto instituce </w:t>
      </w:r>
      <w:r w:rsidRPr="005979ED">
        <w:rPr>
          <w:rFonts w:ascii="Calibri" w:eastAsia="Calibri" w:hAnsi="Calibri"/>
          <w:sz w:val="22"/>
          <w:szCs w:val="22"/>
          <w:lang w:eastAsia="en-US"/>
        </w:rPr>
        <w:t>dobře vyznají v mnoha formách znalostního managementu a organizace</w:t>
      </w:r>
      <w:r>
        <w:rPr>
          <w:rFonts w:ascii="Calibri" w:eastAsia="Calibri" w:hAnsi="Calibri"/>
          <w:sz w:val="22"/>
          <w:szCs w:val="22"/>
          <w:lang w:eastAsia="en-US"/>
        </w:rPr>
        <w:t xml:space="preserve"> svých fondů</w:t>
      </w:r>
      <w:r w:rsidRPr="005979ED">
        <w:rPr>
          <w:rFonts w:ascii="Calibri" w:eastAsia="Calibri" w:hAnsi="Calibri"/>
          <w:sz w:val="22"/>
          <w:szCs w:val="22"/>
          <w:lang w:eastAsia="en-US"/>
        </w:rPr>
        <w:t xml:space="preserve">, konkrétní dovednosti </w:t>
      </w:r>
      <w:r>
        <w:rPr>
          <w:rFonts w:ascii="Calibri" w:eastAsia="Calibri" w:hAnsi="Calibri"/>
          <w:sz w:val="22"/>
          <w:szCs w:val="22"/>
          <w:lang w:eastAsia="en-US"/>
        </w:rPr>
        <w:t xml:space="preserve">vyžadované současnou érou </w:t>
      </w:r>
      <w:r w:rsidRPr="005979ED">
        <w:rPr>
          <w:rFonts w:ascii="Calibri" w:eastAsia="Calibri" w:hAnsi="Calibri"/>
          <w:sz w:val="22"/>
          <w:szCs w:val="22"/>
          <w:lang w:eastAsia="en-US"/>
        </w:rPr>
        <w:t>"</w:t>
      </w:r>
      <w:r>
        <w:rPr>
          <w:rFonts w:ascii="Calibri" w:eastAsia="Calibri" w:hAnsi="Calibri"/>
          <w:sz w:val="22"/>
          <w:szCs w:val="22"/>
          <w:lang w:eastAsia="en-US"/>
        </w:rPr>
        <w:t>big data</w:t>
      </w:r>
      <w:r w:rsidRPr="005979ED">
        <w:rPr>
          <w:rFonts w:ascii="Calibri" w:eastAsia="Calibri" w:hAnsi="Calibri"/>
          <w:sz w:val="22"/>
          <w:szCs w:val="22"/>
          <w:lang w:eastAsia="en-US"/>
        </w:rPr>
        <w:t xml:space="preserve">" </w:t>
      </w:r>
      <w:r>
        <w:rPr>
          <w:rFonts w:ascii="Calibri" w:eastAsia="Calibri" w:hAnsi="Calibri"/>
          <w:sz w:val="22"/>
          <w:szCs w:val="22"/>
          <w:lang w:eastAsia="en-US"/>
        </w:rPr>
        <w:t xml:space="preserve"> jim přinášejí </w:t>
      </w:r>
      <w:r w:rsidRPr="005979ED">
        <w:rPr>
          <w:rFonts w:ascii="Calibri" w:eastAsia="Calibri" w:hAnsi="Calibri"/>
          <w:sz w:val="22"/>
          <w:szCs w:val="22"/>
          <w:lang w:eastAsia="en-US"/>
        </w:rPr>
        <w:t xml:space="preserve">novou výzvu. </w:t>
      </w:r>
      <w:r>
        <w:rPr>
          <w:rFonts w:ascii="Calibri" w:eastAsia="Calibri" w:hAnsi="Calibri"/>
          <w:sz w:val="22"/>
          <w:szCs w:val="22"/>
          <w:lang w:eastAsia="en-US"/>
        </w:rPr>
        <w:t xml:space="preserve">Laboratoře „Digital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Humanities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“</w:t>
      </w:r>
      <w:r w:rsidRPr="005979ED">
        <w:rPr>
          <w:rFonts w:ascii="Calibri" w:eastAsia="Calibri" w:hAnsi="Calibri"/>
          <w:sz w:val="22"/>
          <w:szCs w:val="22"/>
          <w:lang w:eastAsia="en-US"/>
        </w:rPr>
        <w:t xml:space="preserve"> uvnitř vědeckých knihoven představují jednu </w:t>
      </w:r>
      <w:r>
        <w:rPr>
          <w:rFonts w:ascii="Calibri" w:eastAsia="Calibri" w:hAnsi="Calibri"/>
          <w:sz w:val="22"/>
          <w:szCs w:val="22"/>
          <w:lang w:eastAsia="en-US"/>
        </w:rPr>
        <w:t>z </w:t>
      </w:r>
      <w:r w:rsidRPr="005979ED">
        <w:rPr>
          <w:rFonts w:ascii="Calibri" w:eastAsia="Calibri" w:hAnsi="Calibri"/>
          <w:sz w:val="22"/>
          <w:szCs w:val="22"/>
          <w:lang w:eastAsia="en-US"/>
        </w:rPr>
        <w:t>možn</w:t>
      </w:r>
      <w:r>
        <w:rPr>
          <w:rFonts w:ascii="Calibri" w:eastAsia="Calibri" w:hAnsi="Calibri"/>
          <w:sz w:val="22"/>
          <w:szCs w:val="22"/>
          <w:lang w:eastAsia="en-US"/>
        </w:rPr>
        <w:t>ých cest</w:t>
      </w:r>
      <w:r w:rsidRPr="005979ED">
        <w:rPr>
          <w:rFonts w:ascii="Calibri" w:eastAsia="Calibri" w:hAnsi="Calibri"/>
          <w:sz w:val="22"/>
          <w:szCs w:val="22"/>
          <w:lang w:eastAsia="en-US"/>
        </w:rPr>
        <w:t xml:space="preserve"> k uspokojení potřeb humanitních vědců v éře </w:t>
      </w:r>
      <w:r>
        <w:rPr>
          <w:rFonts w:ascii="Calibri" w:eastAsia="Calibri" w:hAnsi="Calibri"/>
          <w:sz w:val="22"/>
          <w:szCs w:val="22"/>
          <w:lang w:eastAsia="en-US"/>
        </w:rPr>
        <w:t xml:space="preserve">intenzivního data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miningu</w:t>
      </w:r>
      <w:proofErr w:type="spellEnd"/>
      <w:r w:rsidRPr="005979ED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>
        <w:rPr>
          <w:rFonts w:ascii="Calibri" w:eastAsia="Calibri" w:hAnsi="Calibri"/>
          <w:sz w:val="22"/>
          <w:szCs w:val="22"/>
          <w:lang w:eastAsia="en-US"/>
        </w:rPr>
        <w:t xml:space="preserve">V rámci přednášky představil Peter Leonard unikátní přístup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Yale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Univesity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k takovému použití specializovaných univerzitních sbírek v propojení na licencovaná elektronická data od komerčních vydavatelů.</w:t>
      </w:r>
    </w:p>
    <w:p w:rsidR="005979ED" w:rsidRDefault="005979ED" w:rsidP="005979ED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06D7A" w:rsidRDefault="00906D7A" w:rsidP="00906D7A">
      <w:pPr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P</w:t>
      </w:r>
      <w:r w:rsidRPr="00906D7A">
        <w:rPr>
          <w:rFonts w:ascii="Calibri" w:eastAsia="Calibri" w:hAnsi="Calibri"/>
          <w:b/>
          <w:sz w:val="22"/>
          <w:szCs w:val="22"/>
          <w:lang w:eastAsia="en-US"/>
        </w:rPr>
        <w:t>rohloubení spolupráce s</w:t>
      </w:r>
      <w:r>
        <w:rPr>
          <w:rFonts w:ascii="Calibri" w:eastAsia="Calibri" w:hAnsi="Calibri"/>
          <w:b/>
          <w:sz w:val="22"/>
          <w:szCs w:val="22"/>
          <w:lang w:eastAsia="en-US"/>
        </w:rPr>
        <w:t> projektem</w:t>
      </w:r>
      <w:r w:rsidRPr="00906D7A">
        <w:rPr>
          <w:rFonts w:ascii="Calibri" w:eastAsia="Calibri" w:hAnsi="Calibri"/>
          <w:b/>
          <w:sz w:val="22"/>
          <w:szCs w:val="22"/>
          <w:lang w:eastAsia="en-US"/>
        </w:rPr>
        <w:t xml:space="preserve"> Minority </w:t>
      </w:r>
      <w:proofErr w:type="spellStart"/>
      <w:r w:rsidRPr="00906D7A">
        <w:rPr>
          <w:rFonts w:ascii="Calibri" w:eastAsia="Calibri" w:hAnsi="Calibri"/>
          <w:b/>
          <w:sz w:val="22"/>
          <w:szCs w:val="22"/>
          <w:lang w:eastAsia="en-US"/>
        </w:rPr>
        <w:t>Languages</w:t>
      </w:r>
      <w:proofErr w:type="spellEnd"/>
      <w:r w:rsidRPr="00906D7A"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  <w:r>
        <w:rPr>
          <w:rFonts w:ascii="Calibri" w:eastAsia="Calibri" w:hAnsi="Calibri"/>
          <w:b/>
          <w:sz w:val="22"/>
          <w:szCs w:val="22"/>
          <w:lang w:eastAsia="en-US"/>
        </w:rPr>
        <w:t>Finské národní knihovny</w:t>
      </w:r>
    </w:p>
    <w:p w:rsidR="00906D7A" w:rsidRPr="00906D7A" w:rsidRDefault="00906D7A" w:rsidP="00906D7A">
      <w:pPr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V rámci konference bylo s </w:t>
      </w:r>
      <w:proofErr w:type="spellStart"/>
      <w:r w:rsidRPr="00906D7A">
        <w:rPr>
          <w:rFonts w:ascii="Calibri" w:eastAsia="Calibri" w:hAnsi="Calibri"/>
          <w:sz w:val="22"/>
          <w:szCs w:val="22"/>
          <w:lang w:eastAsia="en-US"/>
        </w:rPr>
        <w:t>Jussi</w:t>
      </w:r>
      <w:proofErr w:type="spellEnd"/>
      <w:r w:rsidRPr="00906D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06D7A">
        <w:rPr>
          <w:rFonts w:ascii="Calibri" w:eastAsia="Calibri" w:hAnsi="Calibri"/>
          <w:sz w:val="22"/>
          <w:szCs w:val="22"/>
          <w:lang w:eastAsia="en-US"/>
        </w:rPr>
        <w:t>Pekkou</w:t>
      </w:r>
      <w:proofErr w:type="spellEnd"/>
      <w:r w:rsidRPr="00906D7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906D7A">
        <w:rPr>
          <w:rFonts w:ascii="Calibri" w:eastAsia="Calibri" w:hAnsi="Calibri"/>
          <w:sz w:val="22"/>
          <w:szCs w:val="22"/>
          <w:lang w:eastAsia="en-US"/>
        </w:rPr>
        <w:t>Hakkarainenem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>, zástupcem Finské národní knihovny, dohodnuto další vzájemné testování OCR mechanismů na rozpoznávání starších forem obou národních jazyků včetně předání části zdrojových kódů budovaných databází za účelem kontroly jejich možného využití v národních projektech. Diskutovány byly také oblasti finských zkušeností s 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crowd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sourcingem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a optimalizace výstupů na úroveň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Ground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/>
          <w:sz w:val="22"/>
          <w:szCs w:val="22"/>
          <w:lang w:eastAsia="en-US"/>
        </w:rPr>
        <w:t>Thruth</w:t>
      </w:r>
      <w:proofErr w:type="spellEnd"/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:rsidR="005979ED" w:rsidRPr="00BE63AD" w:rsidRDefault="005979ED" w:rsidP="005979ED">
      <w:pPr>
        <w:spacing w:line="276" w:lineRule="auto"/>
        <w:jc w:val="both"/>
        <w:rPr>
          <w:rFonts w:ascii="Calibri" w:eastAsia="Calibri" w:hAnsi="Calibri"/>
          <w:sz w:val="22"/>
          <w:szCs w:val="22"/>
          <w:lang w:val="en-US" w:eastAsia="en-US"/>
        </w:rPr>
      </w:pPr>
    </w:p>
    <w:p w:rsidR="000A078D" w:rsidRDefault="000A078D" w:rsidP="00EC0B5F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sectPr w:rsidR="000A078D" w:rsidSect="00604F10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386" w:rsidRDefault="00176386">
      <w:r>
        <w:separator/>
      </w:r>
    </w:p>
  </w:endnote>
  <w:endnote w:type="continuationSeparator" w:id="0">
    <w:p w:rsidR="00176386" w:rsidRDefault="0017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0C5717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D5FBF88" wp14:editId="2D437E8D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C7259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386" w:rsidRDefault="00176386">
      <w:r>
        <w:separator/>
      </w:r>
    </w:p>
  </w:footnote>
  <w:footnote w:type="continuationSeparator" w:id="0">
    <w:p w:rsidR="00176386" w:rsidRDefault="0017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 wp14:anchorId="45EA7307" wp14:editId="4E4BADC2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0C5717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55B9A0" wp14:editId="1BBF1A46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D2D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17"/>
    <w:rsid w:val="000242DC"/>
    <w:rsid w:val="00031E53"/>
    <w:rsid w:val="0006007D"/>
    <w:rsid w:val="0007222C"/>
    <w:rsid w:val="00073DFC"/>
    <w:rsid w:val="00081212"/>
    <w:rsid w:val="000A078D"/>
    <w:rsid w:val="000C5717"/>
    <w:rsid w:val="000D64B4"/>
    <w:rsid w:val="000E4AAE"/>
    <w:rsid w:val="000F34F7"/>
    <w:rsid w:val="00131B88"/>
    <w:rsid w:val="00142FDF"/>
    <w:rsid w:val="00151798"/>
    <w:rsid w:val="00153BB3"/>
    <w:rsid w:val="00165F90"/>
    <w:rsid w:val="00167FCD"/>
    <w:rsid w:val="00171E27"/>
    <w:rsid w:val="00173B87"/>
    <w:rsid w:val="00176386"/>
    <w:rsid w:val="001B1E3A"/>
    <w:rsid w:val="001C4128"/>
    <w:rsid w:val="001C6564"/>
    <w:rsid w:val="002105C8"/>
    <w:rsid w:val="00281DF0"/>
    <w:rsid w:val="00311872"/>
    <w:rsid w:val="00335D17"/>
    <w:rsid w:val="0036123C"/>
    <w:rsid w:val="00377783"/>
    <w:rsid w:val="00377A48"/>
    <w:rsid w:val="00393306"/>
    <w:rsid w:val="003A11DA"/>
    <w:rsid w:val="003A6044"/>
    <w:rsid w:val="003B0CED"/>
    <w:rsid w:val="00416326"/>
    <w:rsid w:val="004354A3"/>
    <w:rsid w:val="00466446"/>
    <w:rsid w:val="004A0D9A"/>
    <w:rsid w:val="004D7654"/>
    <w:rsid w:val="0054197E"/>
    <w:rsid w:val="0055514A"/>
    <w:rsid w:val="00570934"/>
    <w:rsid w:val="00595F10"/>
    <w:rsid w:val="005979ED"/>
    <w:rsid w:val="005A21CE"/>
    <w:rsid w:val="005B25E8"/>
    <w:rsid w:val="005B42FF"/>
    <w:rsid w:val="005E1E28"/>
    <w:rsid w:val="005E4F73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50342"/>
    <w:rsid w:val="00882BFC"/>
    <w:rsid w:val="008A5B5C"/>
    <w:rsid w:val="008C0B88"/>
    <w:rsid w:val="00906D7A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C0635"/>
    <w:rsid w:val="009D3A66"/>
    <w:rsid w:val="009D594D"/>
    <w:rsid w:val="009D65C5"/>
    <w:rsid w:val="009F7098"/>
    <w:rsid w:val="00A1512C"/>
    <w:rsid w:val="00A32D54"/>
    <w:rsid w:val="00A50E83"/>
    <w:rsid w:val="00AF2098"/>
    <w:rsid w:val="00B1347E"/>
    <w:rsid w:val="00B146C0"/>
    <w:rsid w:val="00B31564"/>
    <w:rsid w:val="00B331D6"/>
    <w:rsid w:val="00B8010C"/>
    <w:rsid w:val="00B81E7A"/>
    <w:rsid w:val="00BC7CE8"/>
    <w:rsid w:val="00BE63AD"/>
    <w:rsid w:val="00BF6D8E"/>
    <w:rsid w:val="00C20231"/>
    <w:rsid w:val="00C37D30"/>
    <w:rsid w:val="00C428A2"/>
    <w:rsid w:val="00C531FF"/>
    <w:rsid w:val="00C537E2"/>
    <w:rsid w:val="00C6152E"/>
    <w:rsid w:val="00CA5218"/>
    <w:rsid w:val="00CA5FDF"/>
    <w:rsid w:val="00CB6050"/>
    <w:rsid w:val="00CD18DB"/>
    <w:rsid w:val="00D702FF"/>
    <w:rsid w:val="00DC2055"/>
    <w:rsid w:val="00DE1D6F"/>
    <w:rsid w:val="00DF228F"/>
    <w:rsid w:val="00DF28E6"/>
    <w:rsid w:val="00DF5E77"/>
    <w:rsid w:val="00E21964"/>
    <w:rsid w:val="00E4485D"/>
    <w:rsid w:val="00E93CB4"/>
    <w:rsid w:val="00EC0B5F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F822C2"/>
  <w15:docId w15:val="{D104C2E3-9015-4704-9353-2A3350E0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BE63AD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BE6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6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iber2016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LTYNT\AppData\Local\Temp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C6CA76-735D-4AF1-A81E-A4843908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141</TotalTime>
  <Pages>2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4130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Foltýn Tomáš</dc:creator>
  <cp:lastModifiedBy>Foltýn Tomáš</cp:lastModifiedBy>
  <cp:revision>6</cp:revision>
  <cp:lastPrinted>2013-10-24T08:13:00Z</cp:lastPrinted>
  <dcterms:created xsi:type="dcterms:W3CDTF">2015-06-23T18:20:00Z</dcterms:created>
  <dcterms:modified xsi:type="dcterms:W3CDTF">2016-09-30T11:16:00Z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