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45" w:rsidRDefault="00941E45">
      <w:pPr>
        <w:pStyle w:val="Title"/>
        <w:rPr>
          <w:rFonts w:ascii="Calibri" w:hAnsi="Calibri" w:cs="Calibri"/>
          <w:sz w:val="21"/>
          <w:szCs w:val="21"/>
        </w:rPr>
      </w:pPr>
    </w:p>
    <w:p w:rsidR="00941E45" w:rsidRDefault="00941E45">
      <w:pPr>
        <w:pStyle w:val="Title"/>
        <w:rPr>
          <w:rStyle w:val="IntenseEmphasis"/>
          <w:rFonts w:cs="Times New Roman"/>
          <w:sz w:val="21"/>
          <w:szCs w:val="21"/>
        </w:rPr>
      </w:pPr>
      <w:r>
        <w:rPr>
          <w:rStyle w:val="IntenseEmphasis"/>
          <w:rFonts w:cs="Times New Roman"/>
          <w:sz w:val="21"/>
          <w:szCs w:val="21"/>
        </w:rPr>
        <w:t>Zpráva ze zahraniční služební cesty</w:t>
      </w:r>
    </w:p>
    <w:p w:rsidR="00941E45" w:rsidRDefault="00941E45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p w:rsidR="00941E45" w:rsidRDefault="00941E45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941E45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941E45" w:rsidRDefault="00941E4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941E45" w:rsidRDefault="00941E45">
            <w:pPr>
              <w:pStyle w:val="Heading1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Mgr. Jindřich Marek, Ph.D.</w:t>
            </w:r>
          </w:p>
        </w:tc>
      </w:tr>
      <w:tr w:rsidR="00941E45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941E45" w:rsidRDefault="00941E4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941E45" w:rsidRDefault="00941E4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1.5.1 ORST</w:t>
            </w:r>
          </w:p>
        </w:tc>
      </w:tr>
      <w:tr w:rsidR="00941E45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941E45" w:rsidRDefault="00941E4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941E45" w:rsidRDefault="00941E45">
            <w:pPr>
              <w:pStyle w:val="Heading1"/>
              <w:rPr>
                <w:rFonts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bCs w:val="0"/>
                <w:sz w:val="21"/>
                <w:szCs w:val="21"/>
              </w:rPr>
              <w:t>Oddělení rukopisů a starých tisků – odborný pracovník</w:t>
            </w:r>
          </w:p>
        </w:tc>
      </w:tr>
      <w:tr w:rsidR="00941E45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941E45" w:rsidRDefault="00941E4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Důvod cesty</w:t>
            </w:r>
          </w:p>
        </w:tc>
        <w:tc>
          <w:tcPr>
            <w:tcW w:w="5598" w:type="dxa"/>
            <w:gridSpan w:val="2"/>
          </w:tcPr>
          <w:p w:rsidR="00941E45" w:rsidRDefault="00941E45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průzkum rukopisů, jednání a získání kopií odborné literatury v souvislosti s připravovanou výstavou “Kodex vyšehradský”</w:t>
            </w:r>
          </w:p>
        </w:tc>
      </w:tr>
      <w:tr w:rsidR="00941E45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941E45" w:rsidRDefault="00941E4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941E45" w:rsidRDefault="00941E45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Hnězdno, Krakov</w:t>
            </w:r>
          </w:p>
        </w:tc>
      </w:tr>
      <w:tr w:rsidR="00941E45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941E45" w:rsidRDefault="00941E4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941E45" w:rsidRDefault="00941E45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Polsko</w:t>
            </w:r>
          </w:p>
        </w:tc>
      </w:tr>
      <w:tr w:rsidR="00941E45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941E45" w:rsidRDefault="00941E4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Datum (od-do)</w:t>
            </w:r>
          </w:p>
        </w:tc>
        <w:tc>
          <w:tcPr>
            <w:tcW w:w="5598" w:type="dxa"/>
            <w:gridSpan w:val="2"/>
          </w:tcPr>
          <w:p w:rsidR="00941E45" w:rsidRDefault="00941E45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22.–27. 9. 2013</w:t>
            </w:r>
          </w:p>
        </w:tc>
      </w:tr>
      <w:tr w:rsidR="00941E45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941E45" w:rsidRDefault="00941E4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941E45" w:rsidRDefault="00941E4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22. 9.</w:t>
            </w:r>
          </w:p>
          <w:p w:rsidR="00941E45" w:rsidRDefault="00941E4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8.29 odjezd ze stanice Praha hl. n.</w:t>
            </w:r>
          </w:p>
          <w:p w:rsidR="00941E45" w:rsidRDefault="00941E4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17.42 příjezd do stanice Gniezno</w:t>
            </w:r>
          </w:p>
          <w:p w:rsidR="00941E45" w:rsidRDefault="00941E4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23. 9.</w:t>
            </w:r>
          </w:p>
          <w:p w:rsidR="00941E45" w:rsidRDefault="00941E4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návštěva v Arcidiecézním archivu v Hnězdně</w:t>
            </w:r>
          </w:p>
          <w:p w:rsidR="00941E45" w:rsidRDefault="00941E4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24. 9.</w:t>
            </w:r>
          </w:p>
          <w:p w:rsidR="00941E45" w:rsidRDefault="00941E4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návštěva v Muzeu počátků polského státu v Hnězdně</w:t>
            </w:r>
          </w:p>
          <w:p w:rsidR="00941E45" w:rsidRDefault="00941E4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25. 9.</w:t>
            </w:r>
          </w:p>
          <w:p w:rsidR="00941E45" w:rsidRDefault="00941E4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11. 16 odjezd ze stanice Gniezno</w:t>
            </w:r>
          </w:p>
          <w:p w:rsidR="00941E45" w:rsidRDefault="00941E4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20.33 příjezd do stanice Kraków Gl.</w:t>
            </w:r>
          </w:p>
          <w:p w:rsidR="00941E45" w:rsidRDefault="00941E4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26. 9.</w:t>
            </w:r>
          </w:p>
          <w:p w:rsidR="00941E45" w:rsidRDefault="00941E4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návštěva studovny oddělení rukopisů Jagellonské knihovny v Krakově</w:t>
            </w:r>
          </w:p>
          <w:p w:rsidR="00941E45" w:rsidRDefault="00941E4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27. 9.</w:t>
            </w:r>
          </w:p>
          <w:p w:rsidR="00941E45" w:rsidRDefault="00941E4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dopol. návštěva knihkupectví, získání přehledu o nové odborné literatuře</w:t>
            </w:r>
          </w:p>
          <w:p w:rsidR="00941E45" w:rsidRDefault="00941E4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12.45 odjezd ze stanice Kraków Gl.</w:t>
            </w:r>
          </w:p>
          <w:p w:rsidR="00941E45" w:rsidRDefault="00941E4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20.39 příjezd do stanice Praha hl. n.</w:t>
            </w:r>
          </w:p>
        </w:tc>
      </w:tr>
      <w:tr w:rsidR="00941E45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941E45" w:rsidRDefault="00941E4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941E45" w:rsidRDefault="00941E4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PhDr. Kamil Boldan</w:t>
            </w:r>
          </w:p>
        </w:tc>
      </w:tr>
      <w:tr w:rsidR="00941E45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941E45" w:rsidRDefault="00941E4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941E45" w:rsidRDefault="00941E4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Rozpočet NK (cestovné, diety a ubytování Hnězdno, cestovní pojištění), reciprocita (diety a ubytování Krakov).</w:t>
            </w:r>
          </w:p>
        </w:tc>
      </w:tr>
      <w:tr w:rsidR="00941E45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614" w:type="dxa"/>
          </w:tcPr>
          <w:p w:rsidR="00941E45" w:rsidRDefault="00941E4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Cíle cesty</w:t>
            </w:r>
          </w:p>
        </w:tc>
        <w:tc>
          <w:tcPr>
            <w:tcW w:w="5598" w:type="dxa"/>
            <w:gridSpan w:val="2"/>
          </w:tcPr>
          <w:p w:rsidR="00941E45" w:rsidRDefault="00941E45">
            <w:pPr>
              <w:spacing w:before="100" w:after="10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Návštěva v Archiwum arcidiecezalne, Gniezno.</w:t>
            </w:r>
          </w:p>
          <w:p w:rsidR="00941E45" w:rsidRDefault="00941E45">
            <w:pPr>
              <w:pStyle w:val="ListParagraph"/>
              <w:numPr>
                <w:ilvl w:val="0"/>
                <w:numId w:val="3"/>
              </w:numPr>
              <w:spacing w:before="100" w:after="10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Seznámení se se Zlatým kodexem, který vznikl ve stejném skriptoriu jako Kodex vyšehradský.</w:t>
            </w:r>
          </w:p>
          <w:p w:rsidR="00941E45" w:rsidRDefault="00941E45">
            <w:pPr>
              <w:pStyle w:val="ListParagraph"/>
              <w:numPr>
                <w:ilvl w:val="0"/>
                <w:numId w:val="3"/>
              </w:numPr>
              <w:spacing w:before="100" w:after="10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Dohoda o užití reprodukcí z kodexu.</w:t>
            </w:r>
          </w:p>
          <w:p w:rsidR="00941E45" w:rsidRDefault="00941E45">
            <w:pPr>
              <w:pStyle w:val="ListParagraph"/>
              <w:numPr>
                <w:ilvl w:val="0"/>
                <w:numId w:val="3"/>
              </w:numPr>
              <w:spacing w:before="100" w:after="10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Získání kopií odborné literatury ke kodexu.</w:t>
            </w:r>
          </w:p>
          <w:p w:rsidR="00941E45" w:rsidRDefault="00941E45">
            <w:pPr>
              <w:spacing w:before="100" w:after="10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Návštěva v Muzeum początków państwa polskiego, Gniezno.</w:t>
            </w:r>
          </w:p>
          <w:p w:rsidR="00941E45" w:rsidRDefault="00941E45">
            <w:pPr>
              <w:pStyle w:val="ListParagraph"/>
              <w:numPr>
                <w:ilvl w:val="0"/>
                <w:numId w:val="2"/>
              </w:numPr>
              <w:spacing w:before="100" w:after="10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Prohlídka expozice s prezentací předmětů z 11. století včetně maket rukopisů.</w:t>
            </w:r>
          </w:p>
          <w:p w:rsidR="00941E45" w:rsidRDefault="00941E45">
            <w:pPr>
              <w:spacing w:before="100" w:after="10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Návštěva Biblioteki jagiellońskiej, Kraków.</w:t>
            </w:r>
          </w:p>
          <w:p w:rsidR="00941E45" w:rsidRDefault="00941E45">
            <w:pPr>
              <w:pStyle w:val="ListParagraph"/>
              <w:numPr>
                <w:ilvl w:val="0"/>
                <w:numId w:val="2"/>
              </w:numPr>
              <w:spacing w:before="100" w:after="10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Rešerše a získání literatury ke knižní kultuře v Polsku v románském období.</w:t>
            </w:r>
          </w:p>
        </w:tc>
      </w:tr>
      <w:tr w:rsidR="00941E45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941E45" w:rsidRDefault="00941E4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941E45" w:rsidRDefault="00941E4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Cíle cesty byly splněny. V Arcidiecézním archivu nás přijal jeho ředitel ks. dr. Michał Sołomieniuk. Za jeho přítomnosti nám byl asi na hodinu zpřístupněn originál kodexu. Přitom jsme měli možnost podrobně studovat jeho knižní vazbu a iluminace a zároveň se seznámit se stavem rukopisu po restaurování (2012). Na navazujícím jednání navrhl ředitel archivu uzavření smlouvy mezi archivem a NK ČR o vzájemné výměně digitálních kopií celých kodexů (Zlatý kodex hnězdenský, Kodex vyšehradský) a souhlasu se zveřejněním určitého množství reprodukcí na výstavách každého z kodexů a v publikacích k nim. Ve studovně jsme pořídili kopie literatury ke kodexu, která není v ČR dostupná. Expozice v Muzeu počátků polského státu je zajímavá tím, že se jedná o kontextuální prezentaci předmětů z nejstaršího období polských dějin, jež může být inspirací pro chystanou výstavu o Kodexu vyšehradském. Vedle archeologických předmětů získaných při výzkumech jsou zde prezentovány také dobové rukopisy, a to formou maket. Expozici doplňují nedávno natočené zajímavé 3D filmy. V Jagellonské knihovně v Krakově jsme studovali novou odbornou literaturu (v ČR nedostupnou) k oběma polským kodexům, jež souvisí s Kodexem vyšehradským. Fond této knihovny byl pro tyto účely obzvláště vhodný, protože knihovna spravuje asi největší sbírku středověkých rukopisů v Polsku a oddělení rukopisů má výborně vybavenou příruční knihovnu.</w:t>
            </w:r>
          </w:p>
        </w:tc>
      </w:tr>
      <w:tr w:rsidR="00941E45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941E45" w:rsidRDefault="00941E4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941E45" w:rsidRDefault="00941E45">
            <w:pPr>
              <w:tabs>
                <w:tab w:val="left" w:pos="4192"/>
              </w:tabs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–</w:t>
            </w:r>
            <w:r>
              <w:rPr>
                <w:rFonts w:ascii="Calibri" w:hAnsi="Calibri" w:cs="Calibri"/>
                <w:sz w:val="21"/>
                <w:szCs w:val="21"/>
              </w:rPr>
              <w:tab/>
            </w:r>
          </w:p>
        </w:tc>
      </w:tr>
      <w:tr w:rsidR="00941E45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941E45" w:rsidRDefault="00941E4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941E45" w:rsidRDefault="00941E4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–</w:t>
            </w:r>
          </w:p>
        </w:tc>
      </w:tr>
      <w:tr w:rsidR="00941E45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941E45" w:rsidRDefault="00941E4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941E45" w:rsidRDefault="00941E4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3. 10. 2013</w:t>
            </w:r>
          </w:p>
        </w:tc>
      </w:tr>
      <w:tr w:rsidR="00941E45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941E45" w:rsidRDefault="00941E4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941E45" w:rsidRDefault="00941E45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41E45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941E45" w:rsidRDefault="00941E4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Podpis nadřízeného</w:t>
            </w:r>
          </w:p>
        </w:tc>
        <w:tc>
          <w:tcPr>
            <w:tcW w:w="2799" w:type="dxa"/>
          </w:tcPr>
          <w:p w:rsidR="00941E45" w:rsidRDefault="00941E4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Datum:</w:t>
            </w:r>
          </w:p>
        </w:tc>
        <w:tc>
          <w:tcPr>
            <w:tcW w:w="2799" w:type="dxa"/>
          </w:tcPr>
          <w:p w:rsidR="00941E45" w:rsidRDefault="00941E4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Podpis:</w:t>
            </w:r>
          </w:p>
        </w:tc>
      </w:tr>
      <w:tr w:rsidR="00941E45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941E45" w:rsidRDefault="00941E4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Vloženo na Intranet</w:t>
            </w:r>
          </w:p>
        </w:tc>
        <w:tc>
          <w:tcPr>
            <w:tcW w:w="2799" w:type="dxa"/>
          </w:tcPr>
          <w:p w:rsidR="00941E45" w:rsidRDefault="00941E4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Datum:</w:t>
            </w:r>
          </w:p>
        </w:tc>
        <w:tc>
          <w:tcPr>
            <w:tcW w:w="2799" w:type="dxa"/>
          </w:tcPr>
          <w:p w:rsidR="00941E45" w:rsidRDefault="00941E4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Podpis:</w:t>
            </w:r>
          </w:p>
        </w:tc>
      </w:tr>
      <w:tr w:rsidR="00941E45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941E45" w:rsidRDefault="00941E4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Přijato v mezinárodním oddělení</w:t>
            </w:r>
          </w:p>
        </w:tc>
        <w:tc>
          <w:tcPr>
            <w:tcW w:w="2799" w:type="dxa"/>
          </w:tcPr>
          <w:p w:rsidR="00941E45" w:rsidRDefault="00941E4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Datum:</w:t>
            </w:r>
          </w:p>
        </w:tc>
        <w:tc>
          <w:tcPr>
            <w:tcW w:w="2799" w:type="dxa"/>
          </w:tcPr>
          <w:p w:rsidR="00941E45" w:rsidRDefault="00941E4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Podpis:</w:t>
            </w:r>
          </w:p>
        </w:tc>
      </w:tr>
    </w:tbl>
    <w:p w:rsidR="00941E45" w:rsidRDefault="00941E45">
      <w:pPr>
        <w:rPr>
          <w:rFonts w:cs="Times New Roman"/>
          <w:sz w:val="21"/>
          <w:szCs w:val="21"/>
          <w:lang w:val="en-GB"/>
        </w:rPr>
      </w:pPr>
    </w:p>
    <w:sectPr w:rsidR="00941E45" w:rsidSect="00941E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E45" w:rsidRDefault="00941E4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41E45" w:rsidRDefault="00941E4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E45" w:rsidRDefault="00941E45">
    <w:pPr>
      <w:pStyle w:val="Footer"/>
      <w:jc w:val="center"/>
      <w:rPr>
        <w:rFonts w:ascii="Arial" w:hAnsi="Arial" w:cs="Arial"/>
        <w:b/>
        <w:bCs/>
        <w:sz w:val="18"/>
        <w:szCs w:val="18"/>
      </w:rPr>
    </w:pPr>
    <w:r>
      <w:rPr>
        <w:noProof/>
      </w:rPr>
      <w:pict>
        <v:line id="Line 3" o:spid="_x0000_s2051" style="position:absolute;left:0;text-align:left;z-index:251656704;visibility:visible;mso-position-horizontal-relative:text;mso-position-vertical-relative:text" from="0,3.15pt" to="450pt,3.15pt" o:allowincell="f" strokecolor="red"/>
      </w:pict>
    </w:r>
    <w:r>
      <w:rPr>
        <w:rFonts w:cs="Times New Roman"/>
        <w:noProof/>
      </w:rPr>
      <w:t>11</w:t>
    </w:r>
  </w:p>
  <w:p w:rsidR="00941E45" w:rsidRDefault="00941E45">
    <w:pPr>
      <w:pStyle w:val="EndnoteText"/>
      <w:rPr>
        <w:rFonts w:ascii="Calibri" w:hAnsi="Calibri" w:cs="Calibri"/>
      </w:rPr>
    </w:pPr>
    <w:r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941E45" w:rsidRDefault="00941E45">
    <w:pPr>
      <w:pStyle w:val="Footer"/>
      <w:jc w:val="center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 </w:t>
    </w:r>
  </w:p>
  <w:p w:rsidR="00941E45" w:rsidRDefault="00941E45">
    <w:pPr>
      <w:pStyle w:val="Footer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E45" w:rsidRDefault="00941E4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41E45" w:rsidRDefault="00941E4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E45" w:rsidRDefault="00941E45">
    <w:pPr>
      <w:pStyle w:val="Header"/>
      <w:rPr>
        <w:rFonts w:cs="Times New Roman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.15pt;margin-top:.6pt;width:29.95pt;height:29.95pt;z-index:251658752;mso-position-horizontal-relative:text;mso-position-vertical-relative:text" o:allowincell="f">
          <v:imagedata r:id="rId1" o:title="logo_narodniknihovna"/>
          <w10:wrap type="topAndBottom"/>
        </v:shape>
      </w:pict>
    </w:r>
  </w:p>
  <w:p w:rsidR="00941E45" w:rsidRDefault="00941E45">
    <w:pPr>
      <w:pStyle w:val="Header"/>
      <w:rPr>
        <w:rFonts w:cs="Times New Roman"/>
      </w:rPr>
    </w:pPr>
  </w:p>
  <w:p w:rsidR="00941E45" w:rsidRDefault="00941E45">
    <w:pPr>
      <w:pStyle w:val="Header"/>
      <w:rPr>
        <w:rFonts w:cs="Times New Roman"/>
      </w:rPr>
    </w:pPr>
    <w:r>
      <w:rPr>
        <w:noProof/>
      </w:rPr>
      <w:pict>
        <v:line id="Line 6" o:spid="_x0000_s2050" style="position:absolute;z-index:251657728;visibility:visible;mso-position-horizontal-relative:text;mso-position-vertical-relative:text" from="0,9pt" to="450pt,9pt" o:allowincell="f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2C70"/>
    <w:multiLevelType w:val="multilevel"/>
    <w:tmpl w:val="0F1054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53937A4E"/>
    <w:multiLevelType w:val="multilevel"/>
    <w:tmpl w:val="8C48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3C90A91"/>
    <w:multiLevelType w:val="multilevel"/>
    <w:tmpl w:val="2BFE3B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1E45"/>
    <w:rsid w:val="0094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1E45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1E45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45"/>
    <w:rPr>
      <w:rFonts w:ascii="Times New Roman" w:hAnsi="Times New Roman"/>
      <w:sz w:val="0"/>
      <w:szCs w:val="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Pr>
      <w:b/>
      <w:b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character" w:styleId="IntenseEmphasis">
    <w:name w:val="Intense Emphasis"/>
    <w:basedOn w:val="DefaultParagraphFont"/>
    <w:uiPriority w:val="99"/>
    <w:qFormat/>
    <w:rPr>
      <w:b/>
      <w:bCs/>
      <w:i/>
      <w:iCs/>
      <w:color w:val="808080"/>
    </w:rPr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</TotalTime>
  <Pages>2</Pages>
  <Words>477</Words>
  <Characters>2721</Characters>
  <Application>Microsoft Office Word</Application>
  <DocSecurity>0</DocSecurity>
  <Lines>0</Lines>
  <Paragraphs>0</Paragraphs>
  <ScaleCrop>false</ScaleCrop>
  <Company>Národní knihovna ČR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Marek Jindřich</dc:creator>
  <cp:keywords/>
  <dc:description/>
  <cp:lastModifiedBy>EVA</cp:lastModifiedBy>
  <cp:revision>36</cp:revision>
  <cp:lastPrinted>2013-06-28T08:33:00Z</cp:lastPrinted>
  <dcterms:created xsi:type="dcterms:W3CDTF">2013-06-28T08:04:00Z</dcterms:created>
  <dcterms:modified xsi:type="dcterms:W3CDTF">2013-10-03T16:05:00Z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