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9A" w:rsidRDefault="004A0D9A" w:rsidP="004A0D9A">
      <w:pPr>
        <w:pStyle w:val="Nzev"/>
      </w:pPr>
    </w:p>
    <w:p w:rsidR="00FF14C1" w:rsidRDefault="00FF14C1" w:rsidP="004A0D9A">
      <w:pPr>
        <w:pStyle w:val="Nzev"/>
        <w:rPr>
          <w:rFonts w:asciiTheme="minorHAnsi" w:hAnsiTheme="minorHAnsi" w:cstheme="minorHAnsi"/>
          <w:sz w:val="22"/>
          <w:szCs w:val="22"/>
        </w:rPr>
      </w:pPr>
    </w:p>
    <w:p w:rsidR="004A0D9A" w:rsidRPr="00FF14C1" w:rsidRDefault="00165F90" w:rsidP="004A0D9A">
      <w:pPr>
        <w:pStyle w:val="Nzev"/>
        <w:rPr>
          <w:rStyle w:val="Zdraznnintenzivn"/>
        </w:rPr>
      </w:pPr>
      <w:r>
        <w:rPr>
          <w:rStyle w:val="Zdraznnintenzivn"/>
        </w:rPr>
        <w:t>Zpráva ze</w:t>
      </w:r>
      <w:r w:rsidR="004A0D9A" w:rsidRPr="00FF14C1">
        <w:rPr>
          <w:rStyle w:val="Zdraznnintenzivn"/>
        </w:rPr>
        <w:t xml:space="preserve"> služební cesty</w:t>
      </w:r>
      <w:r>
        <w:rPr>
          <w:rStyle w:val="Zdraznnintenzivn"/>
        </w:rPr>
        <w:t xml:space="preserve"> v ČR </w:t>
      </w:r>
    </w:p>
    <w:p w:rsidR="004A0D9A" w:rsidRDefault="004A0D9A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F14C1" w:rsidRPr="004A0D9A" w:rsidRDefault="00FF14C1" w:rsidP="004A0D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A822C4">
            <w:pPr>
              <w:pStyle w:val="Nadpis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Mgr. Tomáš Foltýn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9F7098" w:rsidRDefault="00640564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1.3. Odbor správy fondů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4A0D9A" w:rsidRDefault="00640564" w:rsidP="00656BA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Ředitel Odboru správy fondů NK ČR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4A0D9A" w:rsidRDefault="001865CE" w:rsidP="00410DE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Konference </w:t>
            </w:r>
            <w:r w:rsidR="00410D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DHA 2017 a Europeana AGM meeting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4A0D9A" w:rsidRDefault="00410DEC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Innsbruck (Rakousko), Milán (Itálie)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07222C" w:rsidRDefault="00410DEC" w:rsidP="0007222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3. – 7. 12. 2017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142FDF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2FDF">
              <w:rPr>
                <w:rFonts w:asciiTheme="minorHAnsi" w:hAnsiTheme="minorHAnsi" w:cstheme="minorHAnsi"/>
                <w:sz w:val="22"/>
                <w:szCs w:val="22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640564" w:rsidRDefault="00410DE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3. 12</w:t>
            </w:r>
            <w:r w:rsidR="00142F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E63AD" w:rsidRPr="00142FDF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jezd z Prahy</w:t>
            </w:r>
          </w:p>
          <w:p w:rsidR="001865CE" w:rsidRDefault="00410DE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- 5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12.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 – účast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konferenci DHA 2017</w:t>
            </w:r>
          </w:p>
          <w:p w:rsidR="001865CE" w:rsidRDefault="00410DEC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6. 12. -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 účast 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Europeana AGM meeting 2017</w:t>
            </w:r>
          </w:p>
          <w:p w:rsidR="00BE63AD" w:rsidRPr="00142FDF" w:rsidRDefault="00410DEC" w:rsidP="00410D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7. 12. 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 xml:space="preserve"> – 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jezd do Prahy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C615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4A0D9A" w:rsidRDefault="00F21D7A" w:rsidP="0007222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NAKI 014</w:t>
            </w:r>
            <w:r w:rsidR="001865C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410DEC">
              <w:rPr>
                <w:rFonts w:asciiTheme="minorHAnsi" w:hAnsiTheme="minorHAnsi" w:cstheme="minorHAnsi"/>
                <w:sz w:val="22"/>
                <w:szCs w:val="22"/>
              </w:rPr>
              <w:t>, rozpočet NK ČR</w:t>
            </w:r>
          </w:p>
        </w:tc>
      </w:tr>
      <w:tr w:rsidR="004A0D9A" w:rsidRPr="004A0D9A" w:rsidTr="00A822C4">
        <w:trPr>
          <w:trHeight w:val="318"/>
        </w:trPr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Cíle cesty</w:t>
            </w:r>
          </w:p>
        </w:tc>
        <w:tc>
          <w:tcPr>
            <w:tcW w:w="5598" w:type="dxa"/>
            <w:gridSpan w:val="2"/>
          </w:tcPr>
          <w:p w:rsidR="00BE63AD" w:rsidRPr="004A0D9A" w:rsidRDefault="00142FDF" w:rsidP="00410D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</w:rPr>
              <w:t xml:space="preserve">Účast na </w:t>
            </w:r>
            <w:r w:rsidR="00F21D7A">
              <w:rPr>
                <w:rFonts w:ascii="Calibri" w:hAnsi="Calibri"/>
                <w:sz w:val="22"/>
              </w:rPr>
              <w:t xml:space="preserve">mezinárodní konferenci </w:t>
            </w:r>
            <w:r w:rsidR="00410DEC">
              <w:rPr>
                <w:rFonts w:ascii="Calibri" w:hAnsi="Calibri"/>
                <w:sz w:val="22"/>
              </w:rPr>
              <w:t>DHA 2017 a setkání Europeana AGM meeting 2017.</w:t>
            </w:r>
            <w:r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4A0D9A" w:rsidRPr="004A0D9A" w:rsidRDefault="00142FDF" w:rsidP="00BE63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Viz níže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Default="00410DEC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Pr="0098596A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https://www.uibk.ac.at/congress/dha2017/</w:t>
              </w:r>
            </w:hyperlink>
          </w:p>
          <w:p w:rsidR="00410DEC" w:rsidRPr="004A0D9A" w:rsidRDefault="00410DEC" w:rsidP="00A32D54">
            <w:pPr>
              <w:tabs>
                <w:tab w:val="left" w:pos="419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Pr="00410DEC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https://pro.europeana.eu/event/agm2017</w:t>
              </w:r>
            </w:hyperlink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4A0D9A" w:rsidRDefault="003B0CED" w:rsidP="009F70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4163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 nadřízeného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Vloženo na Intranet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  <w:tr w:rsidR="004A0D9A" w:rsidRPr="004A0D9A" w:rsidTr="00A822C4">
        <w:tc>
          <w:tcPr>
            <w:tcW w:w="3614" w:type="dxa"/>
          </w:tcPr>
          <w:p w:rsidR="004A0D9A" w:rsidRPr="004A0D9A" w:rsidRDefault="004A0D9A" w:rsidP="00E448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Přijato v </w:t>
            </w:r>
            <w:r w:rsidR="00E4485D">
              <w:rPr>
                <w:rFonts w:asciiTheme="minorHAnsi" w:hAnsiTheme="minorHAnsi" w:cstheme="minorHAnsi"/>
                <w:sz w:val="22"/>
                <w:szCs w:val="22"/>
              </w:rPr>
              <w:t>domácím</w:t>
            </w: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 xml:space="preserve"> oddělení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99" w:type="dxa"/>
          </w:tcPr>
          <w:p w:rsidR="004A0D9A" w:rsidRPr="004A0D9A" w:rsidRDefault="004A0D9A" w:rsidP="00A822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Podpis:</w:t>
            </w:r>
          </w:p>
        </w:tc>
      </w:tr>
    </w:tbl>
    <w:p w:rsidR="008A5B5C" w:rsidRDefault="008A5B5C" w:rsidP="00153BB3">
      <w:pPr>
        <w:outlineLvl w:val="0"/>
        <w:rPr>
          <w:rFonts w:asciiTheme="minorHAnsi" w:hAnsiTheme="minorHAnsi" w:cstheme="minorHAnsi"/>
          <w:sz w:val="22"/>
          <w:szCs w:val="22"/>
        </w:rPr>
      </w:pPr>
    </w:p>
    <w:p w:rsidR="00BE63AD" w:rsidRDefault="00142FDF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142FDF">
        <w:rPr>
          <w:rFonts w:ascii="Calibri" w:eastAsia="Calibri" w:hAnsi="Calibri"/>
          <w:sz w:val="22"/>
          <w:szCs w:val="22"/>
          <w:lang w:eastAsia="en-US"/>
        </w:rPr>
        <w:t xml:space="preserve">Podrobnější popis </w:t>
      </w:r>
      <w:r>
        <w:rPr>
          <w:rFonts w:ascii="Calibri" w:eastAsia="Calibri" w:hAnsi="Calibri"/>
          <w:sz w:val="22"/>
          <w:szCs w:val="22"/>
          <w:lang w:eastAsia="en-US"/>
        </w:rPr>
        <w:t>uskutečněných aktivit:</w:t>
      </w:r>
    </w:p>
    <w:p w:rsidR="002F72C1" w:rsidRDefault="002F72C1" w:rsidP="000E4AA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10DEC" w:rsidRPr="002F72C1" w:rsidRDefault="00410DEC" w:rsidP="000E4AAE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2F72C1">
        <w:rPr>
          <w:rFonts w:ascii="Calibri" w:eastAsia="Calibri" w:hAnsi="Calibri"/>
          <w:b/>
          <w:sz w:val="22"/>
          <w:szCs w:val="22"/>
          <w:u w:val="single"/>
          <w:lang w:eastAsia="en-US"/>
        </w:rPr>
        <w:t>DHA 2017</w:t>
      </w:r>
    </w:p>
    <w:p w:rsidR="00410DEC" w:rsidRDefault="00410DEC" w:rsidP="002F72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Jedním z cílů služební cesty byla účast na rakouském sympoziu pro výzkum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DHA 2017, kterou uspořádala Univerzita v Innsbrucku. Podtitulem konference bylo motto „Data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first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“, což určovalo směřování akce k primárním datům. Univerzita v Innsbrucku je třetím rakouským pracovištěm (po Vídni a Grazu), kde je vytvořeno plnohodnotné centrum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zaměřením na práci s německými textovými dokumenty. Tomu částečně odpovídala i skladba pozvaných přednášejících a rozdělení akce do konferenčních bloků a také do workshopů. Mezi nejzajímavější přednášky patřil příspěvek tzv.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keynote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speakera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Christopha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Hofingera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„Poe</w:t>
      </w:r>
      <w:r w:rsidR="00761A99">
        <w:rPr>
          <w:rFonts w:ascii="Calibri" w:eastAsia="Calibri" w:hAnsi="Calibri"/>
          <w:sz w:val="22"/>
          <w:szCs w:val="22"/>
          <w:lang w:eastAsia="en-US"/>
        </w:rPr>
        <w:t xml:space="preserve">sie in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Zahlen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Werte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in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Worten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“.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Christoph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Hofinger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patří mezi špičkové vědce v oblasti politologie a sociálních věd. Celou svou přednášku koncipoval jako metodický postup ve výzkumu těchto oblastí od doby jeho studií k dnešním trendům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. Další přednášející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Dominique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Stutzmann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se ve svém příspěvku „Image as data“ koncentroval na možnosti práce s digitálními obrazy a extrakcí textových i netextových částí dokumentů. Ve svém příspěvku upozornil na výpovědní hodnotu kaligrafických částí digitálních obrazů, </w:t>
      </w:r>
      <w:r w:rsidR="00761A9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možnost využití mezer a odchylek v řádkování pro výzkum různých písařských a tiskařských škol, či automatickému rozpoznávání sklonu písma v textu. Celá jedna ze sekcí byla zaměřena na využití 3D modelů v oblasti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digital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>. Nejzajímavějším příspěvek byla přednáška „</w:t>
      </w:r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A 3D-Modell as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Means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to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Store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Written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and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Pictorial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Historical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Sources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for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Further</w:t>
      </w:r>
      <w:proofErr w:type="spellEnd"/>
      <w:r w:rsidR="00761A99" w:rsidRPr="00761A9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61A99" w:rsidRPr="00761A99">
        <w:rPr>
          <w:rFonts w:ascii="Calibri" w:eastAsia="Calibri" w:hAnsi="Calibri"/>
          <w:sz w:val="22"/>
          <w:szCs w:val="22"/>
          <w:lang w:eastAsia="en-US"/>
        </w:rPr>
        <w:t>Research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“ přednesená Julií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Forster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 xml:space="preserve"> a Christophem Hoffmannem. V tomto příspěvku byla popsána tvorba a využití 3D modelu vídeňského </w:t>
      </w:r>
      <w:proofErr w:type="spellStart"/>
      <w:r w:rsidR="00761A99">
        <w:rPr>
          <w:rFonts w:ascii="Calibri" w:eastAsia="Calibri" w:hAnsi="Calibri"/>
          <w:sz w:val="22"/>
          <w:szCs w:val="22"/>
          <w:lang w:eastAsia="en-US"/>
        </w:rPr>
        <w:t>Hoffburgu</w:t>
      </w:r>
      <w:proofErr w:type="spellEnd"/>
      <w:r w:rsidR="00761A99">
        <w:rPr>
          <w:rFonts w:ascii="Calibri" w:eastAsia="Calibri" w:hAnsi="Calibri"/>
          <w:sz w:val="22"/>
          <w:szCs w:val="22"/>
          <w:lang w:eastAsia="en-US"/>
        </w:rPr>
        <w:t>, který popisuje stavební vývoj /na základě stojících i archeologických artefaktů/ ve 13. až  19. století.</w:t>
      </w:r>
      <w:r w:rsidR="002F72C1">
        <w:rPr>
          <w:rFonts w:ascii="Calibri" w:eastAsia="Calibri" w:hAnsi="Calibri"/>
          <w:sz w:val="22"/>
          <w:szCs w:val="22"/>
          <w:lang w:eastAsia="en-US"/>
        </w:rPr>
        <w:t xml:space="preserve"> Prezentace vhodně shrnovala výzvy IT technologií, vizualizace a různorodosti zdrojových dat. Během účasti na konferenci navázal T. Foltýn cenné kontakty na přední vědce v oblasti Digital </w:t>
      </w:r>
      <w:proofErr w:type="spellStart"/>
      <w:r w:rsidR="002F72C1">
        <w:rPr>
          <w:rFonts w:ascii="Calibri" w:eastAsia="Calibri" w:hAnsi="Calibri"/>
          <w:sz w:val="22"/>
          <w:szCs w:val="22"/>
          <w:lang w:eastAsia="en-US"/>
        </w:rPr>
        <w:t>Humanities</w:t>
      </w:r>
      <w:proofErr w:type="spellEnd"/>
      <w:r w:rsidR="002F72C1">
        <w:rPr>
          <w:rFonts w:ascii="Calibri" w:eastAsia="Calibri" w:hAnsi="Calibri"/>
          <w:sz w:val="22"/>
          <w:szCs w:val="22"/>
          <w:lang w:eastAsia="en-US"/>
        </w:rPr>
        <w:t xml:space="preserve"> z německého a rakouského prostoru, z nichž někteří budou osloveni k účasti na semináři </w:t>
      </w:r>
      <w:proofErr w:type="spellStart"/>
      <w:r w:rsidR="002F72C1">
        <w:rPr>
          <w:rFonts w:ascii="Calibri" w:eastAsia="Calibri" w:hAnsi="Calibri"/>
          <w:sz w:val="22"/>
          <w:szCs w:val="22"/>
          <w:lang w:eastAsia="en-US"/>
        </w:rPr>
        <w:t>Dariah</w:t>
      </w:r>
      <w:proofErr w:type="spellEnd"/>
      <w:r w:rsidR="002F72C1">
        <w:rPr>
          <w:rFonts w:ascii="Calibri" w:eastAsia="Calibri" w:hAnsi="Calibri"/>
          <w:sz w:val="22"/>
          <w:szCs w:val="22"/>
          <w:lang w:eastAsia="en-US"/>
        </w:rPr>
        <w:t xml:space="preserve">-CZ, jež se má uskutečnit v Praze na jaře 2018. Mimo výše uvedených osob jde například o </w:t>
      </w:r>
      <w:proofErr w:type="spellStart"/>
      <w:r w:rsidR="002F72C1">
        <w:rPr>
          <w:rFonts w:ascii="Calibri" w:eastAsia="Calibri" w:hAnsi="Calibri"/>
          <w:sz w:val="22"/>
          <w:szCs w:val="22"/>
          <w:lang w:eastAsia="en-US"/>
        </w:rPr>
        <w:t>Günthera</w:t>
      </w:r>
      <w:proofErr w:type="spellEnd"/>
      <w:r w:rsidR="002F72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2F72C1">
        <w:rPr>
          <w:rFonts w:ascii="Calibri" w:eastAsia="Calibri" w:hAnsi="Calibri"/>
          <w:sz w:val="22"/>
          <w:szCs w:val="22"/>
          <w:lang w:eastAsia="en-US"/>
        </w:rPr>
        <w:t>Mühlbergera</w:t>
      </w:r>
      <w:proofErr w:type="spellEnd"/>
      <w:r w:rsidR="002F72C1">
        <w:rPr>
          <w:rFonts w:ascii="Calibri" w:eastAsia="Calibri" w:hAnsi="Calibri"/>
          <w:sz w:val="22"/>
          <w:szCs w:val="22"/>
          <w:lang w:eastAsia="en-US"/>
        </w:rPr>
        <w:t xml:space="preserve"> (se kterým již NK ČR spolupracovala v minulosti), Martinu </w:t>
      </w:r>
      <w:proofErr w:type="spellStart"/>
      <w:r w:rsidR="002F72C1">
        <w:rPr>
          <w:rFonts w:ascii="Calibri" w:eastAsia="Calibri" w:hAnsi="Calibri"/>
          <w:sz w:val="22"/>
          <w:szCs w:val="22"/>
          <w:lang w:eastAsia="en-US"/>
        </w:rPr>
        <w:t>Trogintz</w:t>
      </w:r>
      <w:proofErr w:type="spellEnd"/>
      <w:r w:rsidR="002F72C1">
        <w:rPr>
          <w:rFonts w:ascii="Calibri" w:eastAsia="Calibri" w:hAnsi="Calibri"/>
          <w:sz w:val="22"/>
          <w:szCs w:val="22"/>
          <w:lang w:eastAsia="en-US"/>
        </w:rPr>
        <w:t xml:space="preserve"> (Universita Heidelberg) či Veroniku </w:t>
      </w:r>
      <w:proofErr w:type="spellStart"/>
      <w:r w:rsidR="002F72C1">
        <w:rPr>
          <w:rFonts w:ascii="Calibri" w:eastAsia="Calibri" w:hAnsi="Calibri"/>
          <w:sz w:val="22"/>
          <w:szCs w:val="22"/>
          <w:lang w:eastAsia="en-US"/>
        </w:rPr>
        <w:t>Heider</w:t>
      </w:r>
      <w:proofErr w:type="spellEnd"/>
      <w:r w:rsidR="002F72C1">
        <w:rPr>
          <w:rFonts w:ascii="Calibri" w:eastAsia="Calibri" w:hAnsi="Calibri"/>
          <w:sz w:val="22"/>
          <w:szCs w:val="22"/>
          <w:lang w:eastAsia="en-US"/>
        </w:rPr>
        <w:t xml:space="preserve"> (Univerzita Vídeň). Mimo obsah konference se T. Foltýn seznámil s řešiteli infrastrukturního projektu </w:t>
      </w:r>
      <w:r w:rsidR="002F72C1" w:rsidRPr="002F72C1">
        <w:rPr>
          <w:rFonts w:ascii="Calibri" w:eastAsia="Calibri" w:hAnsi="Calibri"/>
          <w:sz w:val="22"/>
          <w:szCs w:val="22"/>
          <w:lang w:eastAsia="en-US"/>
        </w:rPr>
        <w:t>READ, jež provozuje infrastrukturu pro transkripci, rozpoznání a vyhledávání v historických dokumentech. Všechny služby, které takto provozuje, jsou otevřené a volně dostupné, přičemž samozřejmostí je i dostupné API rozhraní. Pro aktivity projektu INDIHU</w:t>
      </w:r>
      <w:r w:rsidR="002F72C1">
        <w:rPr>
          <w:rFonts w:ascii="Calibri" w:eastAsia="Calibri" w:hAnsi="Calibri"/>
          <w:sz w:val="22"/>
          <w:szCs w:val="22"/>
          <w:lang w:eastAsia="en-US"/>
        </w:rPr>
        <w:t xml:space="preserve"> (jež NK ČR řeší)</w:t>
      </w:r>
      <w:r w:rsidR="002F72C1" w:rsidRPr="002F72C1">
        <w:rPr>
          <w:rFonts w:ascii="Calibri" w:eastAsia="Calibri" w:hAnsi="Calibri"/>
          <w:sz w:val="22"/>
          <w:szCs w:val="22"/>
          <w:lang w:eastAsia="en-US"/>
        </w:rPr>
        <w:t xml:space="preserve"> je momentálně nejdůležitější nástroj </w:t>
      </w:r>
      <w:proofErr w:type="spellStart"/>
      <w:r w:rsidR="002F72C1" w:rsidRPr="002F72C1">
        <w:rPr>
          <w:rFonts w:ascii="Calibri" w:eastAsia="Calibri" w:hAnsi="Calibri"/>
          <w:sz w:val="22"/>
          <w:szCs w:val="22"/>
          <w:lang w:eastAsia="en-US"/>
        </w:rPr>
        <w:t>Transkribus</w:t>
      </w:r>
      <w:proofErr w:type="spellEnd"/>
      <w:r w:rsidR="002F72C1" w:rsidRPr="002F72C1">
        <w:rPr>
          <w:rFonts w:ascii="Calibri" w:eastAsia="Calibri" w:hAnsi="Calibri"/>
          <w:sz w:val="22"/>
          <w:szCs w:val="22"/>
          <w:lang w:eastAsia="en-US"/>
        </w:rPr>
        <w:t xml:space="preserve"> (https://transkribus.eu/</w:t>
      </w:r>
      <w:proofErr w:type="spellStart"/>
      <w:r w:rsidR="002F72C1" w:rsidRPr="002F72C1">
        <w:rPr>
          <w:rFonts w:ascii="Calibri" w:eastAsia="Calibri" w:hAnsi="Calibri"/>
          <w:sz w:val="22"/>
          <w:szCs w:val="22"/>
          <w:lang w:eastAsia="en-US"/>
        </w:rPr>
        <w:t>Transkribus</w:t>
      </w:r>
      <w:proofErr w:type="spellEnd"/>
      <w:r w:rsidR="002F72C1" w:rsidRPr="002F72C1">
        <w:rPr>
          <w:rFonts w:ascii="Calibri" w:eastAsia="Calibri" w:hAnsi="Calibri"/>
          <w:sz w:val="22"/>
          <w:szCs w:val="22"/>
          <w:lang w:eastAsia="en-US"/>
        </w:rPr>
        <w:t>/), který aktivně používá poslední technické možnosti tzv. neuronových sítí. Výhodou je také zapojení různých typů osob a institucí – studentů opravujících texty, archivů, jež texty poskytují a IT specialistů produkujících jednotlivé modely a skripty nejen pro čtení tištěných textů, ale zejména pak rukopisných děl.</w:t>
      </w:r>
    </w:p>
    <w:p w:rsidR="002F72C1" w:rsidRDefault="002F72C1" w:rsidP="002F72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F72C1" w:rsidRDefault="002F72C1" w:rsidP="002F72C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Europeana AGM meeting 2017</w:t>
      </w:r>
    </w:p>
    <w:p w:rsidR="002F72C1" w:rsidRPr="002F72C1" w:rsidRDefault="00FC0465" w:rsidP="002F72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Předmětem cesty byla účast na jednání Europeana AGM meeting 2017, jež se uskutečnilo 6. prosince 2017 v 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Museo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Nazionale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Scienza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e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Tecnologia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„Leonardo da Vinci“ v Miláně. V rámci jednání zazněla přednáška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Pier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Luigi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Sacco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„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The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Value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Culture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“ o možnostech prezentace, chápání a využití kulturních artefaktů. Dalším bodem programu bylo představení 10 projektů zaměřených na práci s daty dostupnými přes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Europeanu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které byly auditoriem hodnoceny. Vítězem hodnocení se stal projekt Franka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Drascheho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Transcribathon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. Dále byly představeny priority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Europeany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pro rok 2018, finanční zpráva za rok 2017 a vize čerpání na rok 2018, oznámeno hlasování o doplnění členů do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Members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Coucil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of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Europeana a pře</w:t>
      </w:r>
      <w:bookmarkStart w:id="0" w:name="_GoBack"/>
      <w:bookmarkEnd w:id="0"/>
      <w:r w:rsidR="00865296">
        <w:rPr>
          <w:rFonts w:ascii="Calibri" w:eastAsia="Calibri" w:hAnsi="Calibri"/>
          <w:sz w:val="22"/>
          <w:szCs w:val="22"/>
          <w:lang w:eastAsia="en-US"/>
        </w:rPr>
        <w:t>dstavena kampaň #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AllezCulture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jež je součástí evropského roku kulturního dědictví, kterým bude rok 2018. Vize zapojení dat z jednotlivých zdrojů do této kampaně představila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Jill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Cousins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. Během účasti na akci se T. Foltýnovi podařilo navázat nové kontakty na pracovníky evropských paměťových institucí (David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Haskiya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August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Erikssen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Marinela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Covaci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atd.) a pohovořit s již známými kolegy o aktualitách z jejich institucí a možné budoucí spolupráci (Marcin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Werla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Lizzy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Komen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Clemens </w:t>
      </w:r>
      <w:proofErr w:type="spellStart"/>
      <w:r w:rsidR="00865296">
        <w:rPr>
          <w:rFonts w:ascii="Calibri" w:eastAsia="Calibri" w:hAnsi="Calibri"/>
          <w:sz w:val="22"/>
          <w:szCs w:val="22"/>
          <w:lang w:eastAsia="en-US"/>
        </w:rPr>
        <w:t>Neudacker</w:t>
      </w:r>
      <w:proofErr w:type="spellEnd"/>
      <w:r w:rsidR="00865296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77DD9">
        <w:rPr>
          <w:rFonts w:ascii="Calibri" w:eastAsia="Calibri" w:hAnsi="Calibri"/>
          <w:sz w:val="22"/>
          <w:szCs w:val="22"/>
          <w:lang w:eastAsia="en-US"/>
        </w:rPr>
        <w:t>Uldis Zarins a další).</w:t>
      </w:r>
    </w:p>
    <w:p w:rsidR="002F72C1" w:rsidRPr="002F72C1" w:rsidRDefault="002F72C1" w:rsidP="002F72C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2F72C1" w:rsidRPr="002F72C1" w:rsidSect="00604F10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6AE" w:rsidRDefault="006856AE">
      <w:r>
        <w:separator/>
      </w:r>
    </w:p>
  </w:endnote>
  <w:endnote w:type="continuationSeparator" w:id="0">
    <w:p w:rsidR="006856AE" w:rsidRDefault="0068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0C5717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D5FBF88" wp14:editId="2D437E8D">
              <wp:simplePos x="0" y="0"/>
              <wp:positionH relativeFrom="column">
                <wp:posOffset>0</wp:posOffset>
              </wp:positionH>
              <wp:positionV relativeFrom="paragraph">
                <wp:posOffset>40004</wp:posOffset>
              </wp:positionV>
              <wp:extent cx="5715000" cy="0"/>
              <wp:effectExtent l="0" t="0" r="19050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C7259" id="Line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6AE" w:rsidRDefault="006856AE">
      <w:r>
        <w:separator/>
      </w:r>
    </w:p>
  </w:footnote>
  <w:footnote w:type="continuationSeparator" w:id="0">
    <w:p w:rsidR="006856AE" w:rsidRDefault="00685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DA" w:rsidRDefault="009161BC">
    <w:pPr>
      <w:pStyle w:val="Zhlav"/>
    </w:pPr>
    <w:r>
      <w:rPr>
        <w:noProof/>
      </w:rPr>
      <w:drawing>
        <wp:inline distT="0" distB="0" distL="0" distR="0" wp14:anchorId="45EA7307" wp14:editId="4E4BADC2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0C5717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855B9A0" wp14:editId="1BBF1A46">
              <wp:simplePos x="0" y="0"/>
              <wp:positionH relativeFrom="column">
                <wp:posOffset>0</wp:posOffset>
              </wp:positionH>
              <wp:positionV relativeFrom="paragraph">
                <wp:posOffset>114299</wp:posOffset>
              </wp:positionV>
              <wp:extent cx="5715000" cy="0"/>
              <wp:effectExtent l="0" t="0" r="19050" b="19050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7ACD2D" id="Line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3ED9"/>
    <w:multiLevelType w:val="hybridMultilevel"/>
    <w:tmpl w:val="7C764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7BF5"/>
    <w:multiLevelType w:val="hybridMultilevel"/>
    <w:tmpl w:val="D25221AE"/>
    <w:lvl w:ilvl="0" w:tplc="0E04270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15BE"/>
    <w:multiLevelType w:val="hybridMultilevel"/>
    <w:tmpl w:val="B7DE6E4A"/>
    <w:lvl w:ilvl="0" w:tplc="4E047444">
      <w:start w:val="2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3DC0"/>
    <w:multiLevelType w:val="hybridMultilevel"/>
    <w:tmpl w:val="82E64F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14C65"/>
    <w:multiLevelType w:val="hybridMultilevel"/>
    <w:tmpl w:val="72825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97266"/>
    <w:multiLevelType w:val="hybridMultilevel"/>
    <w:tmpl w:val="F1B42D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13BF3"/>
    <w:multiLevelType w:val="hybridMultilevel"/>
    <w:tmpl w:val="25A6DE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17"/>
    <w:rsid w:val="000242DC"/>
    <w:rsid w:val="00031E53"/>
    <w:rsid w:val="0006007D"/>
    <w:rsid w:val="0007222C"/>
    <w:rsid w:val="00073DFC"/>
    <w:rsid w:val="00081212"/>
    <w:rsid w:val="000A078D"/>
    <w:rsid w:val="000C5717"/>
    <w:rsid w:val="000E4AAE"/>
    <w:rsid w:val="000F34F7"/>
    <w:rsid w:val="00131B88"/>
    <w:rsid w:val="00142FDF"/>
    <w:rsid w:val="00151798"/>
    <w:rsid w:val="00153BB3"/>
    <w:rsid w:val="00165F90"/>
    <w:rsid w:val="00167FCD"/>
    <w:rsid w:val="00171E27"/>
    <w:rsid w:val="00173B87"/>
    <w:rsid w:val="001865CE"/>
    <w:rsid w:val="001B1E3A"/>
    <w:rsid w:val="001C4128"/>
    <w:rsid w:val="001C6564"/>
    <w:rsid w:val="002105C8"/>
    <w:rsid w:val="00281DF0"/>
    <w:rsid w:val="002F72C1"/>
    <w:rsid w:val="00311872"/>
    <w:rsid w:val="00335D17"/>
    <w:rsid w:val="0035766B"/>
    <w:rsid w:val="0036123C"/>
    <w:rsid w:val="00377783"/>
    <w:rsid w:val="00377A48"/>
    <w:rsid w:val="003A11DA"/>
    <w:rsid w:val="003A6044"/>
    <w:rsid w:val="003B0CED"/>
    <w:rsid w:val="00405E7F"/>
    <w:rsid w:val="00410DEC"/>
    <w:rsid w:val="00416326"/>
    <w:rsid w:val="004354A3"/>
    <w:rsid w:val="00466446"/>
    <w:rsid w:val="004A0D9A"/>
    <w:rsid w:val="004B5EFF"/>
    <w:rsid w:val="004D7654"/>
    <w:rsid w:val="0054197E"/>
    <w:rsid w:val="00570934"/>
    <w:rsid w:val="00595F10"/>
    <w:rsid w:val="005A21CE"/>
    <w:rsid w:val="005B25E8"/>
    <w:rsid w:val="005B42FF"/>
    <w:rsid w:val="005E1E28"/>
    <w:rsid w:val="005E4F73"/>
    <w:rsid w:val="006019DC"/>
    <w:rsid w:val="00604F10"/>
    <w:rsid w:val="006070BF"/>
    <w:rsid w:val="0063054A"/>
    <w:rsid w:val="006319B3"/>
    <w:rsid w:val="00640564"/>
    <w:rsid w:val="00656BAF"/>
    <w:rsid w:val="006856AE"/>
    <w:rsid w:val="00694270"/>
    <w:rsid w:val="00722BB7"/>
    <w:rsid w:val="00736C13"/>
    <w:rsid w:val="00761A99"/>
    <w:rsid w:val="00777DD9"/>
    <w:rsid w:val="00795BD8"/>
    <w:rsid w:val="007D1EC9"/>
    <w:rsid w:val="00850342"/>
    <w:rsid w:val="00865296"/>
    <w:rsid w:val="00882378"/>
    <w:rsid w:val="00882BFC"/>
    <w:rsid w:val="008A5B5C"/>
    <w:rsid w:val="008C0B88"/>
    <w:rsid w:val="009141A1"/>
    <w:rsid w:val="009161BC"/>
    <w:rsid w:val="009536C6"/>
    <w:rsid w:val="009536FA"/>
    <w:rsid w:val="00967314"/>
    <w:rsid w:val="00991F7A"/>
    <w:rsid w:val="009A2DF3"/>
    <w:rsid w:val="009B361D"/>
    <w:rsid w:val="009B3CF4"/>
    <w:rsid w:val="009B6415"/>
    <w:rsid w:val="009D3A66"/>
    <w:rsid w:val="009D594D"/>
    <w:rsid w:val="009D65C5"/>
    <w:rsid w:val="009F7098"/>
    <w:rsid w:val="00A1512C"/>
    <w:rsid w:val="00A32D54"/>
    <w:rsid w:val="00A65927"/>
    <w:rsid w:val="00A81E56"/>
    <w:rsid w:val="00AF2098"/>
    <w:rsid w:val="00B1347E"/>
    <w:rsid w:val="00B146C0"/>
    <w:rsid w:val="00B31564"/>
    <w:rsid w:val="00B331D6"/>
    <w:rsid w:val="00B8010C"/>
    <w:rsid w:val="00B81E7A"/>
    <w:rsid w:val="00BC7CE8"/>
    <w:rsid w:val="00BE63AD"/>
    <w:rsid w:val="00BF6D8E"/>
    <w:rsid w:val="00C0222F"/>
    <w:rsid w:val="00C20231"/>
    <w:rsid w:val="00C428A2"/>
    <w:rsid w:val="00C531FF"/>
    <w:rsid w:val="00C537E2"/>
    <w:rsid w:val="00C6152E"/>
    <w:rsid w:val="00CA5218"/>
    <w:rsid w:val="00CA5FDF"/>
    <w:rsid w:val="00CB6050"/>
    <w:rsid w:val="00CD18DB"/>
    <w:rsid w:val="00D702FF"/>
    <w:rsid w:val="00DC2055"/>
    <w:rsid w:val="00DE1D6F"/>
    <w:rsid w:val="00DF228F"/>
    <w:rsid w:val="00DF28E6"/>
    <w:rsid w:val="00DF5E77"/>
    <w:rsid w:val="00E21964"/>
    <w:rsid w:val="00E4485D"/>
    <w:rsid w:val="00E93CB4"/>
    <w:rsid w:val="00F21D7A"/>
    <w:rsid w:val="00F666BB"/>
    <w:rsid w:val="00F950CF"/>
    <w:rsid w:val="00FB432D"/>
    <w:rsid w:val="00FC0465"/>
    <w:rsid w:val="00FD3FD6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A0AF4"/>
  <w15:docId w15:val="{D104C2E3-9015-4704-9353-2A3350E0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65F90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BE63AD"/>
    <w:rPr>
      <w:rFonts w:ascii="Calibri" w:eastAsia="Calibri" w:hAnsi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BE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5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30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.europeana.eu/event/agm201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ibk.ac.at/congress/dha2017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NT\AppData\Local\Temp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DCD481-28A2-4B94-8AAC-8547E5F9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193</TotalTime>
  <Pages>2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5510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Foltýn Tomáš</dc:creator>
  <cp:lastModifiedBy>Foltýn Tomáš</cp:lastModifiedBy>
  <cp:revision>12</cp:revision>
  <cp:lastPrinted>2013-10-24T08:13:00Z</cp:lastPrinted>
  <dcterms:created xsi:type="dcterms:W3CDTF">2015-06-23T18:20:00Z</dcterms:created>
  <dcterms:modified xsi:type="dcterms:W3CDTF">2017-12-17T21:19:00Z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