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7E2F7E">
      <w:pPr>
        <w:pStyle w:val="Nzev"/>
        <w:jc w:val="left"/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4B73FA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  <w:r>
        <w:rPr>
          <w:rStyle w:val="Zdraznnintenzivn"/>
        </w:rPr>
        <w:t xml:space="preserve">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Pr="005B3588" w:rsidRDefault="004B73FA" w:rsidP="005F5663">
            <w:pPr>
              <w:pStyle w:val="Nadpis1"/>
              <w:rPr>
                <w:rFonts w:ascii="Calibri" w:hAnsi="Calibri"/>
                <w:sz w:val="22"/>
              </w:rPr>
            </w:pPr>
            <w:r w:rsidRPr="005B3588">
              <w:rPr>
                <w:rFonts w:ascii="Calibri" w:hAnsi="Calibri"/>
                <w:bCs w:val="0"/>
                <w:color w:val="000000"/>
                <w:sz w:val="23"/>
                <w:szCs w:val="23"/>
              </w:rPr>
              <w:t>Šárka Hálečková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</w:rPr>
              <w:t>ODiF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- LTP 243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Pr="005B3588" w:rsidRDefault="004B73FA" w:rsidP="005F5663">
            <w:pPr>
              <w:pStyle w:val="Nadpis1"/>
              <w:ind w:left="432" w:hanging="432"/>
              <w:rPr>
                <w:rFonts w:ascii="Calibri" w:hAnsi="Calibri"/>
                <w:b w:val="0"/>
                <w:sz w:val="22"/>
              </w:rPr>
            </w:pPr>
            <w:r w:rsidRPr="005B3588">
              <w:rPr>
                <w:rFonts w:ascii="Calibri" w:hAnsi="Calibri"/>
                <w:b w:val="0"/>
                <w:color w:val="000000"/>
                <w:sz w:val="23"/>
                <w:szCs w:val="23"/>
              </w:rPr>
              <w:t>kurátor LTP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mezinárodní konference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Jasná pod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Chopkom</w:t>
            </w:r>
            <w:proofErr w:type="spellEnd"/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Slovensko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20. - 23. 4. 2015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Pr="005B3588" w:rsidRDefault="004B73FA" w:rsidP="005F5663">
            <w:r w:rsidRPr="005B3588">
              <w:rPr>
                <w:rFonts w:ascii="Calibri" w:hAnsi="Calibri"/>
                <w:color w:val="000000"/>
                <w:sz w:val="23"/>
                <w:szCs w:val="23"/>
              </w:rPr>
              <w:t>20. 4. 2015 - odjezd z Prahy</w:t>
            </w:r>
          </w:p>
          <w:p w:rsidR="004B73FA" w:rsidRPr="005B3588" w:rsidRDefault="004B73FA" w:rsidP="005F5663">
            <w:r w:rsidRPr="005B3588">
              <w:rPr>
                <w:rFonts w:ascii="Calibri" w:hAnsi="Calibri"/>
                <w:color w:val="000000"/>
                <w:sz w:val="23"/>
                <w:szCs w:val="23"/>
              </w:rPr>
              <w:t>21. 4. 2015 - příjezd na místo konání, registrace, konference</w:t>
            </w:r>
          </w:p>
          <w:p w:rsidR="004B73FA" w:rsidRPr="005B3588" w:rsidRDefault="004B73FA" w:rsidP="005F5663">
            <w:r w:rsidRPr="005B3588">
              <w:rPr>
                <w:rFonts w:ascii="Calibri" w:hAnsi="Calibri"/>
                <w:color w:val="000000"/>
                <w:sz w:val="23"/>
                <w:szCs w:val="23"/>
              </w:rPr>
              <w:t>22. 4. 2015 - konference</w:t>
            </w:r>
          </w:p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 w:rsidRPr="005B3588">
              <w:rPr>
                <w:rFonts w:ascii="Calibri" w:hAnsi="Calibri"/>
                <w:color w:val="000000"/>
                <w:sz w:val="23"/>
                <w:szCs w:val="23"/>
              </w:rPr>
              <w:t>23. 4. 2015 - konference, návrat do Prahy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</w:t>
            </w:r>
          </w:p>
        </w:tc>
      </w:tr>
      <w:tr w:rsidR="004B73FA" w:rsidTr="005F566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Cílem cesty byla účast na mezinárodní konferenci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Digitálna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knižnica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/ Digital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Library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2015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a seznámení se s aktuálními problémy a trendy v digitálních knihovnách. Druhotným cílem bylo navázat nové kontakty a osvěžit kontakty stávající.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Cíle cesty byly splněny. V rámci obsáhlého programu konference jsem se účastnila workshopu zaměřeného na práci s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</w:rPr>
              <w:t>repozitářem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Fedora a nadstavbovým softwarem Hydra a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</w:rPr>
              <w:t>Islandora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. Další program konference nabídnul pestrou sestavu přednášek vysoké úrovně, které informovaly o nových trendech v oblasti softwarového i hardwarového zajištění digitálních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</w:rPr>
              <w:t>repozitářů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a zpřístupnění digitálních knihoven různého typu. Poznatky, které jsem nabyla, jsou velmi cenné pro uložení a zpřístupňování digitálních dokumentů NK ČR. Je naprosto nezbytné sledovat aktuální tendence ve vývoji softwaru i hardwaru, zejména z hlediska dlouhodobé udržitelnosti, neboť hardware i software podléhá velmi rychle procesu zastarání.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viz níže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</w:p>
        </w:tc>
      </w:tr>
      <w:tr w:rsidR="004B73FA" w:rsidTr="005F566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</w:p>
        </w:tc>
      </w:tr>
      <w:tr w:rsidR="004B73FA" w:rsidTr="005F566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</w:p>
        </w:tc>
      </w:tr>
      <w:tr w:rsidR="004B73FA" w:rsidTr="005F566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FA" w:rsidRDefault="004B73FA" w:rsidP="005F5663">
            <w:pPr>
              <w:rPr>
                <w:rFonts w:ascii="Calibri" w:hAnsi="Calibri"/>
                <w:sz w:val="22"/>
              </w:rPr>
            </w:pPr>
          </w:p>
        </w:tc>
      </w:tr>
    </w:tbl>
    <w:p w:rsidR="004B73FA" w:rsidRDefault="004B73FA" w:rsidP="004B73FA"/>
    <w:p w:rsidR="004B73FA" w:rsidRDefault="004B73FA" w:rsidP="004B73FA"/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b/>
          <w:bCs/>
          <w:color w:val="000000"/>
          <w:sz w:val="23"/>
          <w:szCs w:val="23"/>
        </w:rPr>
        <w:t>Podrobnější informace:</w:t>
      </w:r>
    </w:p>
    <w:p w:rsidR="004B73FA" w:rsidRPr="005B3588" w:rsidRDefault="004B73FA" w:rsidP="004B73FA">
      <w:pPr>
        <w:spacing w:line="276" w:lineRule="auto"/>
      </w:pPr>
      <w:r w:rsidRPr="005B3588">
        <w:rPr>
          <w:rFonts w:ascii="Calibri" w:hAnsi="Calibri"/>
          <w:color w:val="000000"/>
          <w:sz w:val="23"/>
          <w:szCs w:val="23"/>
        </w:rPr>
        <w:t xml:space="preserve">Program konference je přístupný na stránkách: </w:t>
      </w:r>
      <w:hyperlink r:id="rId12" w:history="1">
        <w:r w:rsidRPr="005B3588">
          <w:rPr>
            <w:rFonts w:ascii="Calibri" w:hAnsi="Calibri"/>
            <w:color w:val="1155CC"/>
            <w:sz w:val="23"/>
            <w:szCs w:val="23"/>
            <w:u w:val="single"/>
          </w:rPr>
          <w:t>http://www.schk.sk/wordpress/digital-library/program-konferencie/</w:t>
        </w:r>
      </w:hyperlink>
      <w:r w:rsidRPr="005B3588">
        <w:rPr>
          <w:rFonts w:ascii="Calibri" w:hAnsi="Calibri"/>
          <w:color w:val="000000"/>
          <w:sz w:val="23"/>
          <w:szCs w:val="23"/>
        </w:rPr>
        <w:t>.</w:t>
      </w:r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b/>
          <w:bCs/>
          <w:color w:val="000000"/>
          <w:sz w:val="23"/>
          <w:szCs w:val="23"/>
        </w:rPr>
        <w:t>21. 4. 2015 - 1. den konference</w:t>
      </w:r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</w:rPr>
        <w:t xml:space="preserve">Samotnému oficiálnímu otevření konference předcházel dopolední workshop, seznamující s možnostmi a způsobem práce s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repozitářem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Fedora a jejím nadstavbovým softwarem Hydra a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Islandora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. Fedora společně se softwarem Hydra a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Islandora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tvoří balík komplexních nástrojů pro ukládání a zpřístupňování digitálního obsahu.  Informace získané na tomto workshopu byly zajímavé i vzhledem k tomu, že Digitální knihovna NK ČR využívá pro zpřístupnění digitálních dokumentů systém Kramerius, který pracuje stejně jako Hydra a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Islandora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s open-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sources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repozitářem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Fedora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Commons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>.</w:t>
      </w:r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</w:rPr>
        <w:t xml:space="preserve">Odpoledne po oficiálním zahájení konference následovala řada přednášek seznamující s nástroji, které přispívají ke zlepšení uživatelského prostředí knihoven či podobných institucí. Řešily se otázky, jak co nejlépe zpřístupňovat památky národního i světového kulturní dědictví a jak si udržet atraktivitu mezi uživateli pomocí moderního přístupu,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efektivím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využitím technických novinek a zapojením současných trendů - například využití databází, intuitivního vyhledávání a uživatelsky příjemného prostředí.</w:t>
      </w:r>
    </w:p>
    <w:p w:rsidR="004B73FA" w:rsidRDefault="004B73FA" w:rsidP="004B73FA">
      <w:pPr>
        <w:spacing w:line="276" w:lineRule="auto"/>
        <w:jc w:val="both"/>
        <w:rPr>
          <w:rFonts w:ascii="Calibri" w:hAnsi="Calibri"/>
          <w:color w:val="000000"/>
          <w:sz w:val="23"/>
          <w:szCs w:val="23"/>
        </w:rPr>
      </w:pPr>
      <w:r w:rsidRPr="005B3588">
        <w:rPr>
          <w:rFonts w:ascii="Calibri" w:hAnsi="Calibri"/>
          <w:color w:val="000000"/>
          <w:sz w:val="23"/>
          <w:szCs w:val="23"/>
        </w:rPr>
        <w:t xml:space="preserve">Zajímavým příspěvkem byla prezentace o Katarské národní knihovně, kterou představila paní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Krishna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Roy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Chowdhury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>. Katarská národní knihovna byla představena jako rychle se rozvíjející moderní instituce otevřená zahraniční spolupráci. V prezentaci byla představena architektonicky zajímavá nová budova knihovny, ale posluchači byli také seznámeni se zřízením IT infrastruktury pro podporu různorodých funkcí knihovny a s centrem digitalizace a digitální knihovnou Kataru. Katarská národní knihovna v sobě zahrnuje tři základní funkce - vystupuje jako národní knihovna, metropolitní knihovna i výzkumná a univerzitní knihovna. Snahou této instituce je podporovat vzdělání a zajistit volný přístup ke zdrojům světového vědění a ke kulturnímu dědictví.  Knihovna chce celkově zlepšit gramotnost lidí v oblasti užívání internetu, aby byli schopni získat nejen snadno přístupné informace, ale v případě potřeby také informace ukryté hluboko uvnitř webu. V plánu rozvoje je také zahrnuta pozoruhodná podpora katarských žen pořádáním specializovaných přednášek a lekcí. Co se týče digitální knihovny, v současné době nabízí uživatelům přes půl milionu e-knih a tisíce článkových databází, mezi nimiž je například Naxos nebo J-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Stor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. Snahou instituce je vytvořit jednotný přístupový portál pro veškerý obsah kulturního (nejen katarského) dědictví a zachovat katarské národní dědictví i do budoucnosti pro další generace. Podrobnější seznámení s katarskou národní knihovnou je přístupné v prezentaci dostupné online </w:t>
      </w:r>
      <w:proofErr w:type="gramStart"/>
      <w:r w:rsidRPr="005B3588">
        <w:rPr>
          <w:rFonts w:ascii="Calibri" w:hAnsi="Calibri"/>
          <w:color w:val="000000"/>
          <w:sz w:val="23"/>
          <w:szCs w:val="23"/>
        </w:rPr>
        <w:t>na</w:t>
      </w:r>
      <w:proofErr w:type="gramEnd"/>
      <w:r w:rsidRPr="005B3588">
        <w:rPr>
          <w:rFonts w:ascii="Calibri" w:hAnsi="Calibri"/>
          <w:color w:val="000000"/>
          <w:sz w:val="23"/>
          <w:szCs w:val="23"/>
        </w:rPr>
        <w:t>:</w:t>
      </w:r>
    </w:p>
    <w:p w:rsidR="004B73FA" w:rsidRPr="005B3588" w:rsidRDefault="000A1EE4" w:rsidP="004B73FA">
      <w:pPr>
        <w:spacing w:line="276" w:lineRule="auto"/>
        <w:jc w:val="both"/>
        <w:rPr>
          <w:rFonts w:ascii="Calibri" w:hAnsi="Calibri"/>
          <w:color w:val="000000"/>
          <w:sz w:val="23"/>
          <w:szCs w:val="23"/>
        </w:rPr>
      </w:pPr>
      <w:hyperlink r:id="rId13" w:history="1">
        <w:r w:rsidR="004B73FA" w:rsidRPr="005B3588">
          <w:rPr>
            <w:rFonts w:ascii="Calibri" w:hAnsi="Calibri"/>
            <w:color w:val="1155CC"/>
            <w:sz w:val="23"/>
            <w:szCs w:val="23"/>
            <w:u w:val="single"/>
          </w:rPr>
          <w:t>http://www.schk.sk/wordpress/wp-content/themes/MichelleSCHK/digilib/Presentations/April15/Qatar_NL_toward_knowledge_based_economy.pdf</w:t>
        </w:r>
      </w:hyperlink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</w:rPr>
        <w:t xml:space="preserve">Další zajímavou prezentací bylo seznámení s dánským programovým modelem pro veřejné knihovny.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Jonna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Holmgaard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Larsen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v příspěvku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Danish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Agency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for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Culture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– Model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Programme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for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Public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Libraries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seznámila posluchače s představou moderní multifunkční veřejné knihovny. Poukázala na proměnu funkcí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věřejných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knihoven v dnešní době. Současná veřejná knihovna by měla podle představovaného modelu být centrální institucí města, víceúčelovou budovou.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Jonna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Holmgaard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přiblížila návrh tzv. čtyřpokojového modelu, který funguje na bázi vzájemného propojení čtyř prostorů: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learning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space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,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inspiration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space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, meeting place </w:t>
      </w:r>
      <w:r w:rsidRPr="005B3588">
        <w:rPr>
          <w:rFonts w:ascii="Calibri" w:hAnsi="Calibri"/>
          <w:color w:val="000000"/>
          <w:sz w:val="23"/>
          <w:szCs w:val="23"/>
        </w:rPr>
        <w:t xml:space="preserve">a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</w:rPr>
        <w:t>performative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</w:rPr>
        <w:t xml:space="preserve"> place</w:t>
      </w:r>
      <w:r w:rsidRPr="005B3588">
        <w:rPr>
          <w:rFonts w:ascii="Calibri" w:hAnsi="Calibri"/>
          <w:color w:val="000000"/>
          <w:sz w:val="23"/>
          <w:szCs w:val="23"/>
        </w:rPr>
        <w:t>. Veřejná knihovna v tomto pojetí má nabízet prostor pro studium, interakce, setkávání a provádění představení (tj. má např. vhodné místo pro pódium). Hlavním poselstvím představovaného programu je vytvořit interaktivní a inspirativní prostor pro uživatele a návštěvníky knihoven - a to prostor nejen fyzický, ale také virtuální</w:t>
      </w:r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b/>
          <w:bCs/>
          <w:color w:val="000000"/>
          <w:sz w:val="23"/>
          <w:szCs w:val="23"/>
        </w:rPr>
        <w:t>22. 4. 2015 - 2. den konference</w:t>
      </w:r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</w:rPr>
        <w:t>Druhý den konference byl zaměřen speciálně na problematiku digitální ochrany.</w:t>
      </w: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Zajímavým příspěvkem byla například přednáška o systému ELDORADO, kterou prezentoval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Szabolcs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Dancs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z Národní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Széchényiho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knihovny. Tento projekt je kompletní národní knihovní systém používaný pro uložení digitálních dokumentů. Je to multifunkční systém, který chce být přístupný všem maďarským knihovnám a který funguje jako poskytovatel digitálního obsahu. Zajišťuje vzdálený přístup k digitálním informacím, pracuje jako zprostředkovatel přístupu k dalším poskytovatelům e-dokumentů, zahrnuje národní katalog digitálních objektů a velkou kolekci veřejně dostupných dokumentů, také působí jako poskytovatel informací o autorských právech, licencích atd. Důležitou funkcí, </w:t>
      </w:r>
      <w:proofErr w:type="gram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který</w:t>
      </w:r>
      <w:proofErr w:type="gram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systém ELDORADO plní, je kompletní management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workflow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procesu a poskytování infrastruktury pro dlouhodobé uložení dokumentů. Systém je koncipován jako tzv.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one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-stop-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shop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, což znamená, že snahou projektu je poskytovat kompletní servis digitální knihovny na jednom místě, což zajistí uživatelům jednotný a snadný přístup k online dokumentům a databázím, a také nabízí digitalizaci dokumentů na vyžádání. Dále ELDORADO poskytuje knihovnám   kontakt s vydavateli.</w:t>
      </w: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Prezentace systému ELDORADO je dostupná online </w:t>
      </w:r>
      <w:proofErr w:type="gram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na</w:t>
      </w:r>
      <w:proofErr w:type="gram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:</w:t>
      </w:r>
    </w:p>
    <w:p w:rsidR="004B73FA" w:rsidRPr="005B3588" w:rsidRDefault="000A1EE4" w:rsidP="004B73FA">
      <w:pPr>
        <w:spacing w:line="276" w:lineRule="auto"/>
        <w:jc w:val="both"/>
      </w:pPr>
      <w:hyperlink r:id="rId14" w:history="1">
        <w:r w:rsidR="004B73FA" w:rsidRPr="005B3588">
          <w:rPr>
            <w:rFonts w:ascii="Calibri" w:hAnsi="Calibri"/>
            <w:color w:val="1155CC"/>
            <w:sz w:val="23"/>
            <w:szCs w:val="23"/>
            <w:u w:val="single"/>
            <w:shd w:val="clear" w:color="auto" w:fill="FFFFFF"/>
          </w:rPr>
          <w:t>https://prezi.com/ez7pjlpuwbep/eldorado-national-szechenyi-library/</w:t>
        </w:r>
      </w:hyperlink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Pozornost upoutala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mimojiné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prezentace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Colina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Thomsona ze společnosti Sony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Europe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, v níž byl představen nový nosič určený pro dlouhodobou archivaci multimediálního obsahu. Jedná se o produkt ODA (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Optical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Disc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Archive) - systém založený na optickém disku. Výrobce tohoto produktu se domnívá, že systém ukládání na pásky, na němž byly založeny jeho dosavadní produkty, je v současné době již překonaným řešením.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Optical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Disc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Archive je nosič založený na blue-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ray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technice a skládá se z 12 disků uložených v jedné kazetě. Oproti standardním blue-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ray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diskům má tento nosič mnohem větší kapacitu, až 1,5 TB, a zároveň je rychlejší. Disk je i v budoucnosti snadno čitelný pomocí drobné aplikace, proto není potřebné řešit formátové migrace uložených dat. Výhodou je podle výrobce také to, že s nosičem lze snadno manipulovat podobně jako s pevným diskem a jeho instalace fungující na principu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plug&amp;play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je velmi snadná. K jeho kladům můžeme také podle výrobce přičíst šetrnost k životnímu prostředí - v porovnání s pevnými disky má nižší spotřebu elektrické energie. Životnost optických disků je výrobcem odhadována minimálně na 50 let, což dokládá zátěžovými testy. V současné době se představovaný produkt používá například ve vysílacím průmyslu (TV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Globo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v Brazílii), historických archivech (Vatikán), vhodný je rovněž pro korporátní komunikaci díky rychlému a snadnému přístupu ke sdílenému obsahu. Nyní je vyvíjena druhá generace produktu ODA, přičemž hlavním úkolem je další zvýšení kapacity a rychlosti. Do budoucna by měly být disky oboustranné a vícevrstvé. Vyvíjen je nejen samotný nosič, ale také čtečka, u které se předpokládá do budoucnosti senzitivnější vícenásobný laser.</w:t>
      </w: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Prezentace sice vzbudila u posluchačů zájem, ale nikoliv důvěru. </w:t>
      </w:r>
      <w:r w:rsidRPr="005B3588">
        <w:rPr>
          <w:rFonts w:ascii="Calibri" w:hAnsi="Calibri"/>
          <w:color w:val="000000"/>
          <w:sz w:val="23"/>
          <w:szCs w:val="23"/>
        </w:rPr>
        <w:t>O produktu ODA je možné se dočíst na následujícím odkazu:</w:t>
      </w:r>
    </w:p>
    <w:p w:rsidR="004B73FA" w:rsidRPr="005B3588" w:rsidRDefault="000A1EE4" w:rsidP="004B73FA">
      <w:pPr>
        <w:spacing w:line="276" w:lineRule="auto"/>
        <w:jc w:val="both"/>
      </w:pPr>
      <w:hyperlink r:id="rId15" w:history="1">
        <w:r w:rsidR="004B73FA" w:rsidRPr="005B3588">
          <w:rPr>
            <w:rFonts w:ascii="Calibri" w:hAnsi="Calibri"/>
            <w:color w:val="1155CC"/>
            <w:sz w:val="23"/>
            <w:szCs w:val="23"/>
            <w:u w:val="single"/>
          </w:rPr>
          <w:t>https://pro.sony.com/bbsc/assetDownloadController/OpticalDiscArchiveBroch.pdf?path=Asset%20Hierarchy$Professional$SEL-yf-generic-153701$SEL-yf-generic-153730SEL-asset-360140.pdf&amp;id=StepID$SEL-asset-360140$original&amp;dimension=original</w:t>
        </w:r>
      </w:hyperlink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</w:rPr>
        <w:t xml:space="preserve">Poutavě představil svou prezentaci také Piotr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Rydzek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ze společnosti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Micronet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. Nejprve stručně pojednával o dvou typech senzorů, které se běžně využívají v knižních skenerech - CCD a CMOS. Posléze přistoupil k představení produktu book2net 71 MP CMOS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Camera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. Tento snímkovací aparát využívá CMOS area senzor, jehož výhodou je hlavně rychlost. Zároveň se vývojem dosáhla vyšší kvalita </w:t>
      </w:r>
      <w:r w:rsidR="00CE39B9" w:rsidRPr="005B3588">
        <w:rPr>
          <w:rFonts w:ascii="Calibri" w:hAnsi="Calibri"/>
          <w:color w:val="000000"/>
          <w:sz w:val="23"/>
          <w:szCs w:val="23"/>
        </w:rPr>
        <w:t>snímání, než</w:t>
      </w:r>
      <w:r w:rsidRPr="005B3588">
        <w:rPr>
          <w:rFonts w:ascii="Calibri" w:hAnsi="Calibri"/>
          <w:color w:val="000000"/>
          <w:sz w:val="23"/>
          <w:szCs w:val="23"/>
        </w:rPr>
        <w:t xml:space="preserve"> jakou dovoluje area CCD senzor. Důležitými faktory ovlivňující konečnou kvalitu získaného snímku je optika, osvětlení i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algorytmus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zpracování obrazu. V současnosti vývojáři intenzivně pracují na vývoji softwaru pro tento snímač, ale lze využít i software, který společnost dodává ke klasickým skenerům. Na závěr přednášky byla zaměřena pozornost na novou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multishot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 technologii, díky níž  lze čidly interpretovat strukturu materiálů. Zmiňovaná technologie je vhodná pro 3D objekty, u nichž je důležité zachytit jejich texturu - ta je zachycena z různých perspektiv a v různém osvětlení. Podle toho, jak byl produkt představen, soudím, že se jedná o alternativu kvalitního digitálního fotoaparátu. Více informací o produktech Book2net lze nalézt na stránkách </w:t>
      </w:r>
      <w:hyperlink r:id="rId16" w:history="1">
        <w:r w:rsidRPr="005B3588">
          <w:rPr>
            <w:rFonts w:ascii="Calibri" w:hAnsi="Calibri"/>
            <w:color w:val="1155CC"/>
            <w:sz w:val="23"/>
            <w:szCs w:val="23"/>
            <w:u w:val="single"/>
          </w:rPr>
          <w:t>www.book2net.net</w:t>
        </w:r>
      </w:hyperlink>
      <w:r w:rsidRPr="005B3588">
        <w:rPr>
          <w:rFonts w:ascii="Calibri" w:hAnsi="Calibri"/>
          <w:color w:val="000000"/>
          <w:sz w:val="23"/>
          <w:szCs w:val="23"/>
        </w:rPr>
        <w:t xml:space="preserve">,  případně na stránkách polského zastoupení </w:t>
      </w:r>
      <w:hyperlink r:id="rId17" w:history="1">
        <w:r w:rsidRPr="005B3588">
          <w:rPr>
            <w:rFonts w:ascii="Calibri" w:hAnsi="Calibri"/>
            <w:color w:val="1155CC"/>
            <w:sz w:val="23"/>
            <w:szCs w:val="23"/>
            <w:u w:val="single"/>
          </w:rPr>
          <w:t>www.skanerysiazkowe.pl</w:t>
        </w:r>
      </w:hyperlink>
      <w:r w:rsidRPr="005B3588">
        <w:rPr>
          <w:rFonts w:ascii="Calibri" w:hAnsi="Calibri"/>
          <w:color w:val="000000"/>
          <w:sz w:val="23"/>
          <w:szCs w:val="23"/>
        </w:rPr>
        <w:t>.</w:t>
      </w:r>
    </w:p>
    <w:p w:rsidR="004B73FA" w:rsidRPr="005B3588" w:rsidRDefault="004B73FA" w:rsidP="004B73FA">
      <w:pPr>
        <w:spacing w:line="276" w:lineRule="auto"/>
      </w:pPr>
    </w:p>
    <w:p w:rsidR="004B73FA" w:rsidRPr="005B3588" w:rsidRDefault="004B73FA" w:rsidP="004B73FA">
      <w:pPr>
        <w:spacing w:line="276" w:lineRule="auto"/>
        <w:jc w:val="both"/>
      </w:pPr>
      <w:r w:rsidRPr="005B3588">
        <w:rPr>
          <w:rFonts w:ascii="Calibri" w:hAnsi="Calibri"/>
          <w:b/>
          <w:bCs/>
          <w:color w:val="000000"/>
          <w:sz w:val="23"/>
          <w:szCs w:val="23"/>
        </w:rPr>
        <w:t>23. 4. 2015 - 3. den konference</w:t>
      </w:r>
    </w:p>
    <w:p w:rsidR="004B73FA" w:rsidRPr="005B3588" w:rsidRDefault="004B73FA" w:rsidP="004B73FA">
      <w:pPr>
        <w:spacing w:line="276" w:lineRule="auto"/>
      </w:pPr>
    </w:p>
    <w:p w:rsidR="00153BB3" w:rsidRPr="004B73FA" w:rsidRDefault="004B73FA" w:rsidP="004B73FA">
      <w:pPr>
        <w:spacing w:line="276" w:lineRule="auto"/>
        <w:jc w:val="both"/>
      </w:pPr>
      <w:r w:rsidRPr="005B3588">
        <w:rPr>
          <w:rFonts w:ascii="Calibri" w:hAnsi="Calibri"/>
          <w:color w:val="000000"/>
          <w:sz w:val="23"/>
          <w:szCs w:val="23"/>
        </w:rPr>
        <w:t xml:space="preserve">Třetí den konference se konaly přednášky pouze v dopoledních hodinách, před obědem byl program oficiálně ukončen. Přestože někteří účastníci konference odjížděli ihned po snídani, většina zůstala, a tak i poslední den byla přednášková místnost téměř plně obsazena. Posluchači velmi kladně hodnocená byla přednáška Toma </w:t>
      </w:r>
      <w:proofErr w:type="spellStart"/>
      <w:r w:rsidRPr="005B3588">
        <w:rPr>
          <w:rFonts w:ascii="Calibri" w:hAnsi="Calibri"/>
          <w:color w:val="000000"/>
          <w:sz w:val="23"/>
          <w:szCs w:val="23"/>
        </w:rPr>
        <w:t>Cramera</w:t>
      </w:r>
      <w:proofErr w:type="spellEnd"/>
      <w:r w:rsidRPr="005B3588">
        <w:rPr>
          <w:rFonts w:ascii="Calibri" w:hAnsi="Calibri"/>
          <w:color w:val="000000"/>
          <w:sz w:val="23"/>
          <w:szCs w:val="23"/>
        </w:rPr>
        <w:t xml:space="preserve">: </w:t>
      </w:r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Hydra &amp;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Blacklight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Grassroots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Solutions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Next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Generation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Needs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for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Digital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Asset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Management, </w:t>
      </w:r>
      <w:proofErr w:type="spellStart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Preservation</w:t>
      </w:r>
      <w:proofErr w:type="spellEnd"/>
      <w:r w:rsidRPr="005B3588"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 xml:space="preserve"> &amp; Access</w:t>
      </w:r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. Projekt Hydra i jeho doplněk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Blacklight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, s nimiž se mohli zájemci seznámit na specializovaném workshopu hned první den konference, jsou vyspělými dlouhodobými projekty rozvíjené na mezinárodním poli. Jak Hydra, tak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Blacklight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jsou založeny na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opensource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. Hydra poskytuje úložiště,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Blacklight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je prostředí pro zpřístupnění uložených dat.  V prezentaci bylo představeno, jak je projekt Hydra a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Blacklight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úspěšný a oblíbený u různých institucí a rychle se šíří, protože produkty lze snadno přizpůsobit potřebám institucí, například jej lze navázat na knihovnické systémy. Produkt Hydra i </w:t>
      </w:r>
      <w:proofErr w:type="spellStart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>Blacklight</w:t>
      </w:r>
      <w:proofErr w:type="spellEnd"/>
      <w:r w:rsidRPr="005B3588">
        <w:rPr>
          <w:rFonts w:ascii="Calibri" w:hAnsi="Calibri"/>
          <w:color w:val="000000"/>
          <w:sz w:val="23"/>
          <w:szCs w:val="23"/>
          <w:shd w:val="clear" w:color="auto" w:fill="FFFFFF"/>
        </w:rPr>
        <w:t xml:space="preserve"> lze snadno použít jako technický rámec, který v sobě zahrnuje balík služeb pro všechny druhy digitálního obsahu, podporované komunitou spolupracující na dnešní dobu stále neobvykle hluboké úrovni. Prezentace ukázala, jak je v dnešní době nesmírně důležitá mezinárodní spolupráce z hlediska sdílení znalostí o technologiích.</w:t>
      </w: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E4" w:rsidRDefault="000A1EE4">
      <w:r>
        <w:separator/>
      </w:r>
    </w:p>
  </w:endnote>
  <w:endnote w:type="continuationSeparator" w:id="0">
    <w:p w:rsidR="000A1EE4" w:rsidRDefault="000A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4B73FA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E4" w:rsidRDefault="000A1EE4">
      <w:r>
        <w:separator/>
      </w:r>
    </w:p>
  </w:footnote>
  <w:footnote w:type="continuationSeparator" w:id="0">
    <w:p w:rsidR="000A1EE4" w:rsidRDefault="000A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4B73FA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FA"/>
    <w:rsid w:val="000242DC"/>
    <w:rsid w:val="00031E53"/>
    <w:rsid w:val="0006007D"/>
    <w:rsid w:val="00081212"/>
    <w:rsid w:val="000A078D"/>
    <w:rsid w:val="000A1EE4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6D81"/>
    <w:rsid w:val="00377A48"/>
    <w:rsid w:val="003A11DA"/>
    <w:rsid w:val="003A6044"/>
    <w:rsid w:val="003B0CED"/>
    <w:rsid w:val="004354A3"/>
    <w:rsid w:val="00466446"/>
    <w:rsid w:val="004A0D9A"/>
    <w:rsid w:val="004B73F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E2F7E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E39B9"/>
    <w:rsid w:val="00D82508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k.sk/wordpress/wp-content/themes/MichelleSCHK/digilib/Presentations/April15/Qatar_NL_toward_knowledge_based_economy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schk.sk/wordpress/digital-library/program-konferencie/" TargetMode="External"/><Relationship Id="rId17" Type="http://schemas.openxmlformats.org/officeDocument/2006/relationships/hyperlink" Target="http://www.skanerysiazkow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ok2net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pro.sony.com/bbsc/assetDownloadController/OpticalDiscArchiveBroch.pdf?path=Asset%20Hierarchy$Professional$SEL-yf-generic-153701$SEL-yf-generic-153730SEL-asset-360140.pdf&amp;id=StepID$SEL-asset-360140$original&amp;dimension=origina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ezi.com/ez7pjlpuwbep/eldorado-national-szechenyi-libra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eckovas\Downloads\zprava_zc%20(3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4F5872-F369-4B06-9D10-74EE8B58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(3)</Template>
  <TotalTime>3</TotalTime>
  <Pages>1</Pages>
  <Words>1779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12257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Hálečková Šárka</dc:creator>
  <cp:lastModifiedBy>Hálečková Šárka</cp:lastModifiedBy>
  <cp:revision>3</cp:revision>
  <cp:lastPrinted>2013-10-24T08:13:00Z</cp:lastPrinted>
  <dcterms:created xsi:type="dcterms:W3CDTF">2015-05-22T11:09:00Z</dcterms:created>
  <dcterms:modified xsi:type="dcterms:W3CDTF">2015-05-22T11:12:00Z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