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199" w:rsidRDefault="00F74199" w:rsidP="004A0D9A">
      <w:pPr>
        <w:pStyle w:val="Title"/>
      </w:pPr>
    </w:p>
    <w:p w:rsidR="00F74199" w:rsidRPr="00C91F55" w:rsidRDefault="00F74199" w:rsidP="004A0D9A">
      <w:pPr>
        <w:pStyle w:val="Title"/>
        <w:rPr>
          <w:rFonts w:ascii="Calibri" w:hAnsi="Calibri" w:cs="Calibri"/>
          <w:sz w:val="22"/>
          <w:szCs w:val="22"/>
        </w:rPr>
      </w:pPr>
    </w:p>
    <w:p w:rsidR="00F74199" w:rsidRPr="00FF14C1" w:rsidRDefault="00F74199" w:rsidP="004A0D9A">
      <w:pPr>
        <w:pStyle w:val="Title"/>
        <w:rPr>
          <w:rStyle w:val="IntenseEmphasis"/>
        </w:rPr>
      </w:pPr>
      <w:r>
        <w:rPr>
          <w:rStyle w:val="IntenseEmphasis"/>
        </w:rPr>
        <w:t>Zpráva ze</w:t>
      </w:r>
      <w:r w:rsidRPr="00FF14C1">
        <w:rPr>
          <w:rStyle w:val="IntenseEmphasis"/>
        </w:rPr>
        <w:t xml:space="preserve"> </w:t>
      </w:r>
      <w:r>
        <w:rPr>
          <w:rStyle w:val="IntenseEmphasis"/>
        </w:rPr>
        <w:t xml:space="preserve">zahraniční </w:t>
      </w:r>
      <w:r w:rsidRPr="00FF14C1">
        <w:rPr>
          <w:rStyle w:val="IntenseEmphasis"/>
        </w:rPr>
        <w:t>služební cesty</w:t>
      </w:r>
      <w:r>
        <w:rPr>
          <w:rStyle w:val="IntenseEmphasis"/>
        </w:rPr>
        <w:t xml:space="preserve"> </w:t>
      </w:r>
    </w:p>
    <w:p w:rsidR="00F74199" w:rsidRPr="00C91F55" w:rsidRDefault="00F74199" w:rsidP="004A0D9A">
      <w:pPr>
        <w:jc w:val="center"/>
        <w:rPr>
          <w:rFonts w:ascii="Calibri" w:hAnsi="Calibri" w:cs="Calibri"/>
          <w:b/>
          <w:bCs/>
          <w:sz w:val="22"/>
          <w:szCs w:val="22"/>
        </w:rPr>
      </w:pPr>
    </w:p>
    <w:p w:rsidR="00F74199" w:rsidRPr="00C91F55" w:rsidRDefault="00F74199" w:rsidP="004A0D9A">
      <w:pPr>
        <w:jc w:val="center"/>
        <w:rPr>
          <w:rFonts w:ascii="Calibri" w:hAnsi="Calibri" w:cs="Calibri"/>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799"/>
        <w:gridCol w:w="2799"/>
      </w:tblGrid>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Jméno a příjmení účastníka cesty</w:t>
            </w:r>
          </w:p>
        </w:tc>
        <w:tc>
          <w:tcPr>
            <w:tcW w:w="5598" w:type="dxa"/>
            <w:gridSpan w:val="2"/>
          </w:tcPr>
          <w:p w:rsidR="00F74199" w:rsidRPr="00C91F55" w:rsidRDefault="00F74199" w:rsidP="00A822C4">
            <w:pPr>
              <w:pStyle w:val="Heading1"/>
              <w:rPr>
                <w:rFonts w:ascii="Calibri" w:hAnsi="Calibri" w:cs="Calibri"/>
                <w:sz w:val="22"/>
                <w:szCs w:val="22"/>
              </w:rPr>
            </w:pPr>
            <w:r w:rsidRPr="00C91F55">
              <w:rPr>
                <w:rFonts w:ascii="Calibri" w:hAnsi="Calibri" w:cs="Calibri"/>
                <w:sz w:val="22"/>
                <w:szCs w:val="22"/>
              </w:rPr>
              <w:t>Dana Smetanová</w:t>
            </w: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Pracoviště – dle organizační struktury</w:t>
            </w:r>
          </w:p>
        </w:tc>
        <w:tc>
          <w:tcPr>
            <w:tcW w:w="5598" w:type="dxa"/>
            <w:gridSpan w:val="2"/>
          </w:tcPr>
          <w:p w:rsidR="00F74199" w:rsidRPr="00C91F55" w:rsidRDefault="00F74199" w:rsidP="009F7098">
            <w:pPr>
              <w:rPr>
                <w:rFonts w:ascii="Calibri" w:hAnsi="Calibri" w:cs="Calibri"/>
                <w:sz w:val="22"/>
                <w:szCs w:val="22"/>
              </w:rPr>
            </w:pPr>
            <w:r w:rsidRPr="00C91F55">
              <w:rPr>
                <w:rFonts w:ascii="Calibri" w:hAnsi="Calibri" w:cs="Calibri"/>
                <w:sz w:val="22"/>
                <w:szCs w:val="22"/>
              </w:rPr>
              <w:t>413</w:t>
            </w: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Pracoviště – zařazení</w:t>
            </w:r>
          </w:p>
        </w:tc>
        <w:tc>
          <w:tcPr>
            <w:tcW w:w="5598" w:type="dxa"/>
            <w:gridSpan w:val="2"/>
          </w:tcPr>
          <w:p w:rsidR="00F74199" w:rsidRPr="00C91F55" w:rsidRDefault="00F74199" w:rsidP="00656BAF">
            <w:pPr>
              <w:pStyle w:val="Heading1"/>
              <w:rPr>
                <w:rFonts w:ascii="Calibri" w:hAnsi="Calibri" w:cs="Calibri"/>
                <w:b w:val="0"/>
                <w:bCs w:val="0"/>
                <w:sz w:val="22"/>
                <w:szCs w:val="22"/>
              </w:rPr>
            </w:pPr>
            <w:r w:rsidRPr="00C91F55">
              <w:rPr>
                <w:rFonts w:ascii="Calibri" w:hAnsi="Calibri" w:cs="Calibri"/>
                <w:b w:val="0"/>
                <w:bCs w:val="0"/>
                <w:sz w:val="22"/>
                <w:szCs w:val="22"/>
              </w:rPr>
              <w:t xml:space="preserve"> Referát pro analýzu a koordinaci VKIS</w:t>
            </w: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Důvod cesty</w:t>
            </w:r>
          </w:p>
        </w:tc>
        <w:tc>
          <w:tcPr>
            <w:tcW w:w="5598" w:type="dxa"/>
            <w:gridSpan w:val="2"/>
          </w:tcPr>
          <w:p w:rsidR="00F74199" w:rsidRPr="00C91F55" w:rsidRDefault="00F74199" w:rsidP="00E96E4B">
            <w:pPr>
              <w:rPr>
                <w:rFonts w:ascii="Calibri" w:hAnsi="Calibri" w:cs="Calibri"/>
                <w:b/>
                <w:bCs/>
                <w:sz w:val="22"/>
                <w:szCs w:val="22"/>
              </w:rPr>
            </w:pPr>
            <w:r w:rsidRPr="00C91F55">
              <w:rPr>
                <w:rFonts w:ascii="Calibri" w:hAnsi="Calibri" w:cs="Calibri"/>
                <w:b/>
                <w:bCs/>
                <w:sz w:val="22"/>
                <w:szCs w:val="22"/>
              </w:rPr>
              <w:t xml:space="preserve"> Pracovní jednání v zahraničních knihovnách v rámci projektu Sociální dialog v oblasti kultury a sociálních služeb</w:t>
            </w: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Místo – město</w:t>
            </w:r>
          </w:p>
        </w:tc>
        <w:tc>
          <w:tcPr>
            <w:tcW w:w="5598" w:type="dxa"/>
            <w:gridSpan w:val="2"/>
          </w:tcPr>
          <w:p w:rsidR="00F74199" w:rsidRPr="00C91F55" w:rsidRDefault="00F74199" w:rsidP="00A822C4">
            <w:pPr>
              <w:rPr>
                <w:rFonts w:ascii="Calibri" w:hAnsi="Calibri" w:cs="Calibri"/>
                <w:b/>
                <w:bCs/>
                <w:sz w:val="22"/>
                <w:szCs w:val="22"/>
              </w:rPr>
            </w:pPr>
            <w:r w:rsidRPr="00C91F55">
              <w:rPr>
                <w:rFonts w:ascii="Calibri" w:hAnsi="Calibri" w:cs="Calibri"/>
                <w:b/>
                <w:bCs/>
                <w:sz w:val="22"/>
                <w:szCs w:val="22"/>
              </w:rPr>
              <w:t>Kodaň, Landskrona, Helsingborg</w:t>
            </w: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Místo – země</w:t>
            </w:r>
          </w:p>
        </w:tc>
        <w:tc>
          <w:tcPr>
            <w:tcW w:w="5598" w:type="dxa"/>
            <w:gridSpan w:val="2"/>
          </w:tcPr>
          <w:p w:rsidR="00F74199" w:rsidRPr="00C91F55" w:rsidRDefault="00F74199" w:rsidP="00A822C4">
            <w:pPr>
              <w:rPr>
                <w:rFonts w:ascii="Calibri" w:hAnsi="Calibri" w:cs="Calibri"/>
                <w:b/>
                <w:bCs/>
                <w:sz w:val="22"/>
                <w:szCs w:val="22"/>
              </w:rPr>
            </w:pPr>
            <w:r w:rsidRPr="00C91F55">
              <w:rPr>
                <w:rFonts w:ascii="Calibri" w:hAnsi="Calibri" w:cs="Calibri"/>
                <w:b/>
                <w:bCs/>
                <w:sz w:val="22"/>
                <w:szCs w:val="22"/>
              </w:rPr>
              <w:t>Dánsko, Švédsko</w:t>
            </w: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Datum (od-do)</w:t>
            </w:r>
          </w:p>
        </w:tc>
        <w:tc>
          <w:tcPr>
            <w:tcW w:w="5598" w:type="dxa"/>
            <w:gridSpan w:val="2"/>
          </w:tcPr>
          <w:p w:rsidR="00F74199" w:rsidRPr="00C91F55" w:rsidRDefault="00F74199" w:rsidP="00A822C4">
            <w:pPr>
              <w:rPr>
                <w:rFonts w:ascii="Calibri" w:hAnsi="Calibri" w:cs="Calibri"/>
                <w:b/>
                <w:bCs/>
                <w:sz w:val="22"/>
                <w:szCs w:val="22"/>
              </w:rPr>
            </w:pPr>
            <w:r w:rsidRPr="00C91F55">
              <w:rPr>
                <w:rFonts w:ascii="Calibri" w:hAnsi="Calibri" w:cs="Calibri"/>
                <w:b/>
                <w:bCs/>
                <w:sz w:val="22"/>
                <w:szCs w:val="22"/>
              </w:rPr>
              <w:t>14. – 17. 4. 2015</w:t>
            </w: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Podrobný časový harmonogram</w:t>
            </w:r>
          </w:p>
        </w:tc>
        <w:tc>
          <w:tcPr>
            <w:tcW w:w="5598" w:type="dxa"/>
            <w:gridSpan w:val="2"/>
          </w:tcPr>
          <w:p w:rsidR="00F74199" w:rsidRPr="00C91F55" w:rsidRDefault="00F74199" w:rsidP="008542F2">
            <w:pPr>
              <w:rPr>
                <w:rFonts w:ascii="Calibri" w:hAnsi="Calibri" w:cs="Calibri"/>
                <w:sz w:val="22"/>
                <w:szCs w:val="22"/>
              </w:rPr>
            </w:pPr>
            <w:r w:rsidRPr="00C91F55">
              <w:rPr>
                <w:rFonts w:ascii="Calibri" w:hAnsi="Calibri" w:cs="Calibri"/>
                <w:sz w:val="22"/>
                <w:szCs w:val="22"/>
              </w:rPr>
              <w:t>14. 4. 2015, 7.10 hod. odlet z Prahy, Kodaň - prohlídka Královské knihovny Černý diamant,</w:t>
            </w:r>
            <w:r w:rsidRPr="00C91F55">
              <w:rPr>
                <w:rFonts w:ascii="Calibri" w:hAnsi="Calibri" w:cs="Calibri"/>
                <w:sz w:val="22"/>
                <w:szCs w:val="22"/>
              </w:rPr>
              <w:br/>
              <w:t>15. 4. Kodaň - Hlavní městská knihovna, diskuze s ředitelem Jakob Heide Petersenem, prohlídka knihovny</w:t>
            </w:r>
            <w:r w:rsidRPr="00C91F55">
              <w:rPr>
                <w:rFonts w:ascii="Calibri" w:hAnsi="Calibri" w:cs="Calibri"/>
                <w:sz w:val="22"/>
                <w:szCs w:val="22"/>
              </w:rPr>
              <w:br/>
              <w:t>16. 4. Landskrona – Hlavní městská knihovna, diskuze s ředitelkou Susann Oak, prohlídka knihovny,</w:t>
            </w:r>
            <w:r w:rsidRPr="00C91F55">
              <w:rPr>
                <w:rFonts w:ascii="Calibri" w:hAnsi="Calibri" w:cs="Calibri"/>
                <w:sz w:val="22"/>
                <w:szCs w:val="22"/>
              </w:rPr>
              <w:br/>
              <w:t>Helsingborg – Dunkers kulturhus, prohlídka centra s odborným výkladem, diskuze s vedoucími pracovníky,</w:t>
            </w:r>
            <w:r w:rsidRPr="00C91F55">
              <w:rPr>
                <w:rFonts w:ascii="Calibri" w:hAnsi="Calibri" w:cs="Calibri"/>
                <w:sz w:val="22"/>
                <w:szCs w:val="22"/>
              </w:rPr>
              <w:br/>
              <w:t>Elsinore - Culture Yard Library, prohlídka knihovny</w:t>
            </w:r>
            <w:r w:rsidRPr="00C91F55">
              <w:rPr>
                <w:rFonts w:ascii="Calibri" w:hAnsi="Calibri" w:cs="Calibri"/>
                <w:sz w:val="22"/>
                <w:szCs w:val="22"/>
              </w:rPr>
              <w:br/>
              <w:t>17. 4. 2015, 21.30 hod. přílet do Prahy</w:t>
            </w: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Spolucestující z NK</w:t>
            </w:r>
          </w:p>
        </w:tc>
        <w:tc>
          <w:tcPr>
            <w:tcW w:w="5598" w:type="dxa"/>
            <w:gridSpan w:val="2"/>
          </w:tcPr>
          <w:p w:rsidR="00F74199" w:rsidRPr="00C91F55" w:rsidRDefault="00F74199" w:rsidP="00C6152E">
            <w:pPr>
              <w:rPr>
                <w:rFonts w:ascii="Calibri" w:hAnsi="Calibri" w:cs="Calibri"/>
                <w:sz w:val="22"/>
                <w:szCs w:val="22"/>
              </w:rPr>
            </w:pP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Finanční zajištění</w:t>
            </w:r>
          </w:p>
        </w:tc>
        <w:tc>
          <w:tcPr>
            <w:tcW w:w="5598" w:type="dxa"/>
            <w:gridSpan w:val="2"/>
          </w:tcPr>
          <w:p w:rsidR="00F74199" w:rsidRPr="00C91F55" w:rsidRDefault="00F74199" w:rsidP="00A822C4">
            <w:pPr>
              <w:rPr>
                <w:rFonts w:ascii="Calibri" w:hAnsi="Calibri" w:cs="Calibri"/>
                <w:sz w:val="22"/>
                <w:szCs w:val="22"/>
              </w:rPr>
            </w:pPr>
            <w:r w:rsidRPr="00C91F55">
              <w:rPr>
                <w:rFonts w:ascii="Calibri" w:hAnsi="Calibri" w:cs="Calibri"/>
                <w:sz w:val="22"/>
                <w:szCs w:val="22"/>
              </w:rPr>
              <w:t>Hrazeno v rámci projektu</w:t>
            </w:r>
          </w:p>
        </w:tc>
      </w:tr>
      <w:tr w:rsidR="00F74199" w:rsidRPr="004A0D9A">
        <w:trPr>
          <w:trHeight w:val="318"/>
        </w:trPr>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Cíle cesty</w:t>
            </w:r>
          </w:p>
        </w:tc>
        <w:tc>
          <w:tcPr>
            <w:tcW w:w="5598" w:type="dxa"/>
            <w:gridSpan w:val="2"/>
          </w:tcPr>
          <w:p w:rsidR="00F74199" w:rsidRPr="00C91F55" w:rsidRDefault="00F74199" w:rsidP="00C6152E">
            <w:pPr>
              <w:spacing w:before="100" w:after="100"/>
              <w:jc w:val="both"/>
              <w:rPr>
                <w:rFonts w:ascii="Calibri" w:hAnsi="Calibri" w:cs="Calibri"/>
                <w:sz w:val="22"/>
                <w:szCs w:val="22"/>
              </w:rPr>
            </w:pPr>
            <w:r w:rsidRPr="00C91F55">
              <w:rPr>
                <w:rFonts w:ascii="Calibri" w:hAnsi="Calibri" w:cs="Calibri"/>
                <w:sz w:val="22"/>
                <w:szCs w:val="22"/>
              </w:rPr>
              <w:t xml:space="preserve"> Mapování dobré praxe v zahraničí</w:t>
            </w: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Plnění cílů cesty (konkrétně)</w:t>
            </w:r>
          </w:p>
        </w:tc>
        <w:tc>
          <w:tcPr>
            <w:tcW w:w="5598" w:type="dxa"/>
            <w:gridSpan w:val="2"/>
          </w:tcPr>
          <w:p w:rsidR="00F74199" w:rsidRPr="00C91F55" w:rsidRDefault="00F74199" w:rsidP="00E96E4B">
            <w:pPr>
              <w:rPr>
                <w:rFonts w:ascii="Calibri" w:hAnsi="Calibri" w:cs="Calibri"/>
                <w:sz w:val="22"/>
                <w:szCs w:val="22"/>
              </w:rPr>
            </w:pPr>
            <w:r w:rsidRPr="00C91F55">
              <w:rPr>
                <w:rFonts w:ascii="Calibri" w:hAnsi="Calibri" w:cs="Calibri"/>
                <w:sz w:val="22"/>
                <w:szCs w:val="22"/>
              </w:rPr>
              <w:t xml:space="preserve">Získání inspirace a poznatků z praxe v zahraničí </w:t>
            </w: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Program a další podrobnější informace</w:t>
            </w:r>
          </w:p>
        </w:tc>
        <w:tc>
          <w:tcPr>
            <w:tcW w:w="5598" w:type="dxa"/>
            <w:gridSpan w:val="2"/>
          </w:tcPr>
          <w:p w:rsidR="00F74199" w:rsidRPr="00C91F55" w:rsidRDefault="00F74199" w:rsidP="004A0D9A">
            <w:pPr>
              <w:tabs>
                <w:tab w:val="left" w:pos="4192"/>
              </w:tabs>
              <w:ind w:left="360"/>
              <w:rPr>
                <w:rFonts w:ascii="Calibri" w:hAnsi="Calibri" w:cs="Calibri"/>
                <w:sz w:val="22"/>
                <w:szCs w:val="22"/>
              </w:rPr>
            </w:pPr>
            <w:r w:rsidRPr="00C91F55">
              <w:rPr>
                <w:rFonts w:ascii="Calibri" w:hAnsi="Calibri" w:cs="Calibri"/>
                <w:sz w:val="22"/>
                <w:szCs w:val="22"/>
              </w:rPr>
              <w:tab/>
            </w: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Přivezené materiály</w:t>
            </w:r>
          </w:p>
        </w:tc>
        <w:tc>
          <w:tcPr>
            <w:tcW w:w="5598" w:type="dxa"/>
            <w:gridSpan w:val="2"/>
          </w:tcPr>
          <w:p w:rsidR="00F74199" w:rsidRPr="00C91F55" w:rsidRDefault="00F74199" w:rsidP="009F7098">
            <w:pPr>
              <w:rPr>
                <w:rFonts w:ascii="Calibri" w:hAnsi="Calibri" w:cs="Calibri"/>
                <w:sz w:val="22"/>
                <w:szCs w:val="22"/>
              </w:rPr>
            </w:pPr>
            <w:r w:rsidRPr="00C91F55">
              <w:rPr>
                <w:rFonts w:ascii="Calibri" w:hAnsi="Calibri" w:cs="Calibri"/>
                <w:sz w:val="22"/>
                <w:szCs w:val="22"/>
              </w:rPr>
              <w:t xml:space="preserve"> </w:t>
            </w: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Datum předložení zprávy</w:t>
            </w:r>
          </w:p>
        </w:tc>
        <w:tc>
          <w:tcPr>
            <w:tcW w:w="5598" w:type="dxa"/>
            <w:gridSpan w:val="2"/>
          </w:tcPr>
          <w:p w:rsidR="00F74199" w:rsidRPr="00C91F55" w:rsidRDefault="00F74199" w:rsidP="00A822C4">
            <w:pPr>
              <w:rPr>
                <w:rFonts w:ascii="Calibri" w:hAnsi="Calibri" w:cs="Calibri"/>
                <w:sz w:val="22"/>
                <w:szCs w:val="22"/>
              </w:rPr>
            </w:pP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Podpis předkladatele zprávy</w:t>
            </w:r>
          </w:p>
        </w:tc>
        <w:tc>
          <w:tcPr>
            <w:tcW w:w="5598" w:type="dxa"/>
            <w:gridSpan w:val="2"/>
          </w:tcPr>
          <w:p w:rsidR="00F74199" w:rsidRPr="00C91F55" w:rsidRDefault="00F74199" w:rsidP="00A822C4">
            <w:pPr>
              <w:rPr>
                <w:rFonts w:ascii="Calibri" w:hAnsi="Calibri" w:cs="Calibri"/>
                <w:sz w:val="22"/>
                <w:szCs w:val="22"/>
              </w:rPr>
            </w:pP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Podpis nadřízeného</w:t>
            </w:r>
          </w:p>
        </w:tc>
        <w:tc>
          <w:tcPr>
            <w:tcW w:w="2799"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Datum:</w:t>
            </w:r>
          </w:p>
        </w:tc>
        <w:tc>
          <w:tcPr>
            <w:tcW w:w="2799"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Podpis:</w:t>
            </w:r>
          </w:p>
        </w:tc>
      </w:tr>
      <w:tr w:rsidR="00F74199" w:rsidRPr="004A0D9A">
        <w:tc>
          <w:tcPr>
            <w:tcW w:w="3614"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Vloženo na Intranet</w:t>
            </w:r>
          </w:p>
        </w:tc>
        <w:tc>
          <w:tcPr>
            <w:tcW w:w="2799"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Datum:</w:t>
            </w:r>
          </w:p>
        </w:tc>
        <w:tc>
          <w:tcPr>
            <w:tcW w:w="2799"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Podpis:</w:t>
            </w:r>
          </w:p>
        </w:tc>
      </w:tr>
      <w:tr w:rsidR="00F74199" w:rsidRPr="004A0D9A">
        <w:tc>
          <w:tcPr>
            <w:tcW w:w="3614" w:type="dxa"/>
          </w:tcPr>
          <w:p w:rsidR="00F74199" w:rsidRPr="00C91F55" w:rsidRDefault="00F74199" w:rsidP="00E4485D">
            <w:pPr>
              <w:rPr>
                <w:rFonts w:ascii="Calibri" w:hAnsi="Calibri" w:cs="Calibri"/>
                <w:sz w:val="22"/>
                <w:szCs w:val="22"/>
              </w:rPr>
            </w:pPr>
            <w:r w:rsidRPr="00C91F55">
              <w:rPr>
                <w:rFonts w:ascii="Calibri" w:hAnsi="Calibri" w:cs="Calibri"/>
                <w:sz w:val="22"/>
                <w:szCs w:val="22"/>
              </w:rPr>
              <w:t>Přijato v domácím oddělení</w:t>
            </w:r>
          </w:p>
        </w:tc>
        <w:tc>
          <w:tcPr>
            <w:tcW w:w="2799"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Datum:</w:t>
            </w:r>
          </w:p>
        </w:tc>
        <w:tc>
          <w:tcPr>
            <w:tcW w:w="2799" w:type="dxa"/>
          </w:tcPr>
          <w:p w:rsidR="00F74199" w:rsidRPr="00C91F55" w:rsidRDefault="00F74199" w:rsidP="00A822C4">
            <w:pPr>
              <w:rPr>
                <w:rFonts w:ascii="Calibri" w:hAnsi="Calibri" w:cs="Calibri"/>
                <w:sz w:val="22"/>
                <w:szCs w:val="22"/>
              </w:rPr>
            </w:pPr>
            <w:r w:rsidRPr="00C91F55">
              <w:rPr>
                <w:rFonts w:ascii="Calibri" w:hAnsi="Calibri" w:cs="Calibri"/>
                <w:sz w:val="22"/>
                <w:szCs w:val="22"/>
              </w:rPr>
              <w:t>Podpis:</w:t>
            </w:r>
          </w:p>
        </w:tc>
      </w:tr>
    </w:tbl>
    <w:p w:rsidR="00F74199" w:rsidRPr="00C91F55" w:rsidRDefault="00F74199" w:rsidP="00153BB3">
      <w:pPr>
        <w:outlineLvl w:val="0"/>
        <w:rPr>
          <w:rFonts w:ascii="Calibri" w:hAnsi="Calibri" w:cs="Calibri"/>
          <w:sz w:val="22"/>
          <w:szCs w:val="22"/>
        </w:rPr>
      </w:pPr>
    </w:p>
    <w:p w:rsidR="00F74199" w:rsidRPr="00C91F55" w:rsidRDefault="00F74199" w:rsidP="00153BB3">
      <w:pPr>
        <w:outlineLvl w:val="0"/>
        <w:rPr>
          <w:rFonts w:ascii="Calibri" w:hAnsi="Calibri" w:cs="Calibri"/>
          <w:sz w:val="22"/>
          <w:szCs w:val="22"/>
        </w:rPr>
      </w:pPr>
    </w:p>
    <w:p w:rsidR="00F74199" w:rsidRPr="00252A25" w:rsidRDefault="00F74199" w:rsidP="005C02A1">
      <w:pPr>
        <w:rPr>
          <w:b/>
          <w:bCs/>
        </w:rPr>
      </w:pPr>
      <w:r w:rsidRPr="00252A25">
        <w:rPr>
          <w:b/>
          <w:bCs/>
        </w:rPr>
        <w:t>Knihovny v Kodani</w:t>
      </w:r>
    </w:p>
    <w:p w:rsidR="00F74199" w:rsidRDefault="00F74199" w:rsidP="005C02A1">
      <w:r>
        <w:t>Síť městských knihoven v Kodani tvoří jedna hlavní knihovna a 19 poboček.  Některé knihovny jsou sloučeny s kulturními centry, školními knihovnami nebo s centry občanských služeb. Kodaňské knihovny tvoří největší síť veřejných knihoven v Dánsku. Poskytují veřejnosti volný přístup ke všem druhům médií, ke knihám, časopisům, novinám, DVD, hudbě, audioknihám a online zdrojům. Registrace v knihovně je zdarma a umožňuje půjčování publikací v celé síti kodaňských knihoven. Některé knihovny mají rozšířenou otevírací dobu bez obsluhy, přístup v této době je možný pouze po registraci v dané knihovně na základě karty zdravotního pojištění. Samozřejmostí v knihovnách je kamerový dohled. Veřejné knihovny jsou částí Odboru kultury a oddechu města Kodaň.</w:t>
      </w:r>
    </w:p>
    <w:p w:rsidR="00F74199" w:rsidRDefault="00F74199" w:rsidP="005C02A1">
      <w:pPr>
        <w:outlineLvl w:val="0"/>
      </w:pPr>
    </w:p>
    <w:p w:rsidR="00F74199" w:rsidRDefault="00F74199" w:rsidP="005C02A1">
      <w:pPr>
        <w:outlineLvl w:val="0"/>
      </w:pPr>
      <w:r>
        <w:t>Základní údaje</w:t>
      </w:r>
      <w:r>
        <w:br/>
      </w:r>
      <w:r>
        <w:br/>
        <w:t xml:space="preserve">560 000 obyvatel </w:t>
      </w:r>
      <w:r>
        <w:br/>
        <w:t>195 000 držitelů průkazů</w:t>
      </w:r>
      <w:r>
        <w:br/>
        <w:t xml:space="preserve">350 zaměstnanců </w:t>
      </w:r>
      <w:r>
        <w:br/>
        <w:t>4,6 mil. návštěv</w:t>
      </w:r>
      <w:r>
        <w:br/>
        <w:t>3,6 mil. výpůjček</w:t>
      </w:r>
      <w:r>
        <w:br/>
        <w:t>5,4 mil návštěv webových stránek</w:t>
      </w:r>
    </w:p>
    <w:p w:rsidR="00F74199" w:rsidRDefault="00F74199" w:rsidP="005C02A1">
      <w:pPr>
        <w:rPr>
          <w:b/>
          <w:bCs/>
        </w:rPr>
      </w:pPr>
    </w:p>
    <w:p w:rsidR="00F74199" w:rsidRPr="00106E8E" w:rsidRDefault="00F74199" w:rsidP="005C02A1">
      <w:pPr>
        <w:rPr>
          <w:b/>
          <w:bCs/>
        </w:rPr>
      </w:pPr>
      <w:r w:rsidRPr="00106E8E">
        <w:rPr>
          <w:b/>
          <w:bCs/>
        </w:rPr>
        <w:t>Copenhagen Main Library  (Hlavní knihovna)</w:t>
      </w:r>
    </w:p>
    <w:p w:rsidR="00F74199" w:rsidRDefault="00F74199" w:rsidP="005C02A1"/>
    <w:p w:rsidR="00F74199" w:rsidRDefault="00F74199" w:rsidP="005C02A1">
      <w:r>
        <w:t>Základní údaje</w:t>
      </w:r>
      <w:r>
        <w:br/>
        <w:t xml:space="preserve">80 zaměstnanců </w:t>
      </w:r>
      <w:r>
        <w:br/>
        <w:t>850 000 návštěv</w:t>
      </w:r>
      <w:r>
        <w:br/>
        <w:t>700 000 výpůjček</w:t>
      </w:r>
      <w:r>
        <w:br/>
        <w:t>610 000 knihovních jednotek ve fondu</w:t>
      </w:r>
      <w:r>
        <w:br/>
        <w:t>160 akcí</w:t>
      </w:r>
      <w:r>
        <w:br/>
      </w:r>
    </w:p>
    <w:p w:rsidR="00F74199" w:rsidRDefault="00F74199" w:rsidP="005C02A1">
      <w:r>
        <w:t>Rozpočet</w:t>
      </w:r>
      <w:r>
        <w:br/>
        <w:t>Celkem 8 mil. euro</w:t>
      </w:r>
      <w:r>
        <w:br/>
        <w:t>Nájem 2,4 mil. euro</w:t>
      </w:r>
      <w:r>
        <w:br/>
        <w:t>Mzdové výdaje 5 mil. euro</w:t>
      </w:r>
    </w:p>
    <w:p w:rsidR="00F74199" w:rsidRDefault="00F74199" w:rsidP="005C02A1">
      <w:pPr>
        <w:rPr>
          <w:b/>
          <w:bCs/>
        </w:rPr>
      </w:pPr>
    </w:p>
    <w:p w:rsidR="00F74199" w:rsidRDefault="00F74199" w:rsidP="00D80FA1">
      <w:r w:rsidRPr="00106E8E">
        <w:rPr>
          <w:b/>
          <w:bCs/>
        </w:rPr>
        <w:t>Personální obsazení</w:t>
      </w:r>
      <w:r w:rsidRPr="00106E8E">
        <w:rPr>
          <w:b/>
          <w:bCs/>
        </w:rPr>
        <w:br/>
      </w:r>
      <w:r>
        <w:t xml:space="preserve">V čele knihovny stojí ředitel, který je jmenován vedoucím Odboru kultury a oddechu příslušné městské části Kodaně. V hlavní knihovně pracuje 80 zaměstnanců s různým odborným vzděláním, nejen knihovnickým. Požadované odborné zaměření se odvíjí od pracovní pozice, upřednostňuje se víceoborové vzdělání zahrnující i knihovnictví a informační vědy. Knihovnické znalosti a dovednosti získávají zaměstnanci v rámci kurzů celoživotního vzdělávání. Na systém celoživotního vzdělávání je kladen velký důraz, jedná se o propracovaný systém, který je i předmětem kolektivního vyjednávání s odbory. Zařazování pracovníků do jednotlivých kurzů je výsledkem jejich vlastního přání, potřeb knihovny a nabídky kurzů, přednášek a konferencí. Odborné vzdělávání je součástí profesního života pracovníků knihovny. </w:t>
      </w:r>
    </w:p>
    <w:p w:rsidR="00F74199" w:rsidRDefault="00F74199" w:rsidP="00A20024">
      <w:r>
        <w:t>Výběr vedoucích pracovníků knihovny provádí ředitel ve spolupráci s odbory. Všichni pracovníci jsou zařazeni a odměňováni podle státního platového předpisu. V současné době je věk odchodu do důchodu 65 let. Zájem mladých lidí o práci v knihovně je značný.</w:t>
      </w:r>
    </w:p>
    <w:p w:rsidR="00F74199" w:rsidRDefault="00F74199" w:rsidP="005C02A1">
      <w:pPr>
        <w:rPr>
          <w:b/>
          <w:bCs/>
        </w:rPr>
      </w:pPr>
    </w:p>
    <w:p w:rsidR="00F74199" w:rsidRPr="00106E8E" w:rsidRDefault="00F74199" w:rsidP="005C02A1">
      <w:pPr>
        <w:rPr>
          <w:b/>
          <w:bCs/>
        </w:rPr>
      </w:pPr>
      <w:r w:rsidRPr="00106E8E">
        <w:rPr>
          <w:b/>
          <w:bCs/>
        </w:rPr>
        <w:t>Vize a strategie</w:t>
      </w:r>
    </w:p>
    <w:p w:rsidR="00F74199" w:rsidRDefault="00F74199" w:rsidP="005C02A1">
      <w:r>
        <w:t>Vize vychází z příležitostí, které umožňuje vývoj a zavádění nových komunikačních a informačních technologií. Střed pozornosti je zaměřen na efektivní rozvoj knihovního fondu a jeho digitalizaci, rozšíření poskytování digitálních a samoobslužných služeb, prodloužení otevírací doby a integrování občanských služeb do knihovny. Cílem je nabízet většinu služeb bez nutnosti fyzické návštěvy knihovny, případně samoobslužně. Využívání knihovny by nemělo být pouze formálním právem, ale skutečnou možností pro všechny obyvatele Kodaně.</w:t>
      </w:r>
    </w:p>
    <w:p w:rsidR="00F74199" w:rsidRDefault="00F74199" w:rsidP="005C02A1">
      <w:r>
        <w:t xml:space="preserve">Součástí strategie je i modernizace fyzických prostor knihovny, která zajistí větší flexibilitu, přiláká více lidí do knihovny, umožní vybudování nové velké knihovny pro děti, poskytne prostor pro pořádání více akcí, nových aktivit a pořádání výstav. Středem pozornosti již nebude fond knihovny, ale uživatel, obyvatel města.  Knihovna vytvoří nové prostředí a nabídne nové aktivity, které umožní obyvatelům aktivně se zapojit do rozvoje města, vytvořit místní rozmanitá komunitní a kreativní centra, čtenářské kluby, uspokojí potřeby vzdělávání, zapojí dobrovolníky do činnosti knihoven. Zvláštní pozornost bude věnována školákům a vzdělávání mládeže, které bude zahrnovat přímou spolupráci se školami, dále dětem a jejich rodičům. Nové úkoly a zaměření knihovny si vyžádají i nové pojetí role knihovníků. Knihovník nebude pouze informačním specialistou, ale také kulturním pracovníkem, projektovým manažerem, učitelem v dětském oddělení apod., těmto novým funkcím musí odpovídat i zaměření odborného vzdělání. </w:t>
      </w:r>
    </w:p>
    <w:p w:rsidR="00F74199" w:rsidRDefault="00F74199" w:rsidP="005C02A1"/>
    <w:p w:rsidR="00F74199" w:rsidRPr="00252A25" w:rsidRDefault="00F74199" w:rsidP="00046EB2">
      <w:pPr>
        <w:rPr>
          <w:b/>
          <w:bCs/>
        </w:rPr>
      </w:pPr>
      <w:r w:rsidRPr="00252A25">
        <w:rPr>
          <w:b/>
          <w:bCs/>
        </w:rPr>
        <w:t xml:space="preserve">Landskrona – Městská knihovna </w:t>
      </w:r>
    </w:p>
    <w:p w:rsidR="00F74199" w:rsidRDefault="00F74199" w:rsidP="00D80FA1">
      <w:r>
        <w:t xml:space="preserve">Město Landskrona se nachází na jihu Švédska v provincii Skane, má 43 500 obyvatel. Městská knihovna se skládá z hlavní knihovny a 3 poboček, je řízena Odborem kultury a oddechu města Lanskrone a je financována z rozpočtu města. Hlavní knihovna byla otevřena v roce 1999 v budově požární stanice. Knihovna se rozkládá ve 2 podlažích, zahrnuje samostatná oddělení pro dospělé a děti včetně speciálně upravené dětské místnosti pro čtení nebo promítání filmů. Kromě tradiční nabídky knihovnických služeb nabízí mnoho dalších volnočasových a vzdělávacích aktivit např. čtenářské kroužky, jazykové vzdělávání, kurzy genealogie, ve spolupráci s právnickou firmou zajišťuje krátké právní konzultace zdarma. </w:t>
      </w:r>
      <w:r>
        <w:br/>
        <w:t xml:space="preserve">Pro děti již od 1,5 roku organizuje různé aktivity: zpívání, tancování, čtení. Nabídka akcí a aktivit knihovny zohledňuje skutečnost, že ve městě žije poměrně velké množství imigrantů a sociálně slabších rodin. </w:t>
      </w:r>
      <w:r>
        <w:br/>
      </w:r>
      <w:r w:rsidRPr="00611C48">
        <w:t>Klasické knihovnické činnosti jako</w:t>
      </w:r>
      <w:r>
        <w:t xml:space="preserve"> je</w:t>
      </w:r>
      <w:r w:rsidRPr="00611C48">
        <w:t xml:space="preserve"> katalogizace knihovna neprovádí, </w:t>
      </w:r>
      <w:r>
        <w:t xml:space="preserve">využívá služby specializované firmy, která dodává </w:t>
      </w:r>
      <w:r w:rsidRPr="00611C48">
        <w:t xml:space="preserve">knihy zpracované, obalené, připravené pro založení do regálu. </w:t>
      </w:r>
      <w:r>
        <w:t xml:space="preserve">V roce 2014 navštívilo knihovnu 265 188 lidí a uskutečnilo se 208 614 výpůjček. </w:t>
      </w:r>
    </w:p>
    <w:p w:rsidR="00F74199" w:rsidRDefault="00F74199" w:rsidP="00046EB2"/>
    <w:p w:rsidR="00F74199" w:rsidRDefault="00F74199" w:rsidP="00046EB2">
      <w:r>
        <w:t>Knihovna se v roce 2015 zapojila do národního programu k podpoře čtení určeného ohroženým oblastem (se sociálně slabšími vrstvami, větším množstvím imigrantů a značnou kriminalitou) nazvaným Bokstart. Knihovníci navštěvují rodiny s malými dětmi ve věku do jednoho roku a obdarovávají je knihou. Cílem projektu je pobídnout rodiče ke čtení s malými dětmi za účelem rozvoje a zdokonalování jazyka a podnícení lásky ke čtení. Program je dvouletý, celkem jsou plánovány tři návštěvy v rodinách v šesti měsíčních intervalech. Tento program je kladně přijímán jak pracovníky knihoven, tak i obdarovanými rodinami.</w:t>
      </w:r>
    </w:p>
    <w:p w:rsidR="00F74199" w:rsidRDefault="00F74199" w:rsidP="00046EB2">
      <w:pPr>
        <w:rPr>
          <w:b/>
          <w:bCs/>
        </w:rPr>
      </w:pPr>
    </w:p>
    <w:p w:rsidR="00F74199" w:rsidRPr="00106E8E" w:rsidRDefault="00F74199" w:rsidP="00046EB2">
      <w:pPr>
        <w:rPr>
          <w:b/>
          <w:bCs/>
        </w:rPr>
      </w:pPr>
      <w:r w:rsidRPr="00106E8E">
        <w:rPr>
          <w:b/>
          <w:bCs/>
        </w:rPr>
        <w:t>Personální obsazení</w:t>
      </w:r>
    </w:p>
    <w:p w:rsidR="00F74199" w:rsidRDefault="00F74199" w:rsidP="00D80FA1">
      <w:r>
        <w:t xml:space="preserve">V čele knihovny stojí ředitelka, která je jmenována vedoucím Odboru kultury a oddechu města Landskrona. V knihovnách pracuje 20 zaměstnanců, z toho 10 má vysokoškolské knihovnické vzdělání; u nově přijímaných zaměstnanců je knihovnické vzdělání podmínkou pro přijetí. Výběr nových zaměstnanců je v kompetenci ředitelky knihovny.  Mzdová politika je závislá na finanční prostředcích získaných od města, ale v zásadě je předmětem dohody mezi zaměstnavatelem a zaměstnancem. Žádný státní platový předpis neexistuje, ale Odborová organizace poskytuje aktuální informace ohledně výše platů v oblasti knihovnictví na základě vlastních údajů nebo sdílením s vyjednávajícími stranami. Tyto údaje jsou určitým vodítkem pro zaměstnavatele v oblasti mzdové politiky, zpravidla není nabízen nižší plat než ten, který uvádějí statistiky. </w:t>
      </w:r>
    </w:p>
    <w:p w:rsidR="00F74199" w:rsidRDefault="00F74199" w:rsidP="00D80FA1"/>
    <w:p w:rsidR="00F74199" w:rsidRDefault="00F74199" w:rsidP="00D80FA1">
      <w:r>
        <w:t>Hodnocení pracovníků. Jednou do roka probíhá pohovor ředitele se zaměstnanci, a to ve třech oblastech: hodnocení pracovního výkonu a odborného růstu zaměstnance, platové ohodnocení, stanovení výše platu. Veškerá jednání musejí být zdokumentována.</w:t>
      </w:r>
    </w:p>
    <w:p w:rsidR="00F74199" w:rsidRDefault="00F74199" w:rsidP="00046EB2"/>
    <w:p w:rsidR="00F74199" w:rsidRDefault="00F74199" w:rsidP="00046EB2">
      <w:r>
        <w:t xml:space="preserve">Hodnocení ředitele knihovny. Jednou za dva roky hodnotí zaměstnanci formou ankety, kterou organizuje Odbor kultury a oddechu města Landskrona, práci svého ředitele. Výsledky jsou předány příslušnému odboru města a na jejich základě může být ředitel odvolán nebo naopak potvrzen ve funkci na další období.  </w:t>
      </w:r>
    </w:p>
    <w:p w:rsidR="00F74199" w:rsidRDefault="00F74199" w:rsidP="00046EB2"/>
    <w:p w:rsidR="00F74199" w:rsidRDefault="00F74199" w:rsidP="00046EB2">
      <w:r>
        <w:t xml:space="preserve">Mladí lidé mají zájem o práci v knihovně, ale netouží pracovat ve vedoucích funkcích, a to z důvodu vyšší odpovědnosti i časové zátěže. Důchodový věk je 65 let, pracovník může zůstat ve své funkci do 67 let, je však možné pracovat i déle za předpokladu, že zaměstnanec i zaměstnavatel souhlasí. </w:t>
      </w:r>
    </w:p>
    <w:p w:rsidR="00F74199" w:rsidRDefault="00F74199" w:rsidP="00046EB2"/>
    <w:p w:rsidR="00F74199" w:rsidRDefault="00F74199" w:rsidP="00046EB2">
      <w:r>
        <w:t>Stejně jako v Dánsku hrají v pracovním životě švédských knihovníků důležitou roli odbory. Více než 80% zaměstnanců je členem odborového svazu. Zaměstnavatel musí s prací pro odbory souhlasit. Odbory působí v oblasti vzdělávání a profesního rozvoje knihovníků, zabývají se kvalitou dalšího vzdělávání, profesními a etickými kritérii, rozvojem kulturní a informační politiky. V oblasti pracovního trhu se snaží najít prostředky k vytváření nových pracovních míst a různými způsoby podporovat nezaměstnané, zabývají se mzdovou politikou, účastní se při vyjednávání platů na místní úrovni, sledují statistiky výše platů, poskytují odborné rady zástupcům i jednotlivým členům pro vyjednávání platů, organizují kurzy na pracovní právo a vyjednávací techniky, jednají o zaměstnanecké politice.</w:t>
      </w:r>
    </w:p>
    <w:p w:rsidR="00F74199" w:rsidRDefault="00F74199" w:rsidP="00046EB2">
      <w:pPr>
        <w:rPr>
          <w:b/>
          <w:bCs/>
        </w:rPr>
      </w:pPr>
    </w:p>
    <w:p w:rsidR="00F74199" w:rsidRDefault="00F74199" w:rsidP="00046EB2">
      <w:r w:rsidRPr="00106E8E">
        <w:rPr>
          <w:b/>
          <w:bCs/>
        </w:rPr>
        <w:t>Strategie a rozvoj knihovny</w:t>
      </w:r>
      <w:r>
        <w:br/>
        <w:t>Základním nástrojem řízení je tříletý strategický plán, který musí knihovna zpracovat a předložit ke schválení politikům. Na základě schváleného plánu je realizován další rozvoj knihovny. Mezi priority tohoto roku patří mimo jiné úpravy prostor dětského oddělení za účelem vytvoření atraktivnějšího prostředí, práce v rámci projektu Bokstart, zajištění aktivit pro mladé dívky z imigrantských rodin a rozvíjení programu činností k oslovení nových skupin návštěvníků.</w:t>
      </w:r>
    </w:p>
    <w:p w:rsidR="00F74199" w:rsidRDefault="00F74199" w:rsidP="00046EB2">
      <w:pPr>
        <w:rPr>
          <w:b/>
          <w:bCs/>
        </w:rPr>
      </w:pPr>
    </w:p>
    <w:p w:rsidR="00F74199" w:rsidRPr="00106E8E" w:rsidRDefault="00F74199" w:rsidP="00046EB2">
      <w:pPr>
        <w:rPr>
          <w:b/>
          <w:bCs/>
        </w:rPr>
      </w:pPr>
      <w:r w:rsidRPr="00106E8E">
        <w:rPr>
          <w:b/>
          <w:bCs/>
        </w:rPr>
        <w:t>Helsingborg – Dunkers Kulturhus</w:t>
      </w:r>
    </w:p>
    <w:p w:rsidR="00F74199" w:rsidRDefault="00F74199" w:rsidP="00046EB2">
      <w:r>
        <w:t xml:space="preserve">Dunkers je největší kulturní centrum v jižní části Švédska. Založil ho místní podnikatel Henry Dunker, který financoval stavbu celého komplexu. Provoz centra je nyní zajišťován z rozpočtu města, pracuje zde 80 zaměstnanců. V centru se nacházejí výstavní sály, konferenční místnost, divadlo, turistické informační centrum, referenční knihovna s širokým výběrem knih a časopisů tematicky zaměřených zejména na hudbu, umění, divadlo, film, historii a architekturu. Dokumenty jsou určeny pouze k prezenčnímu studiu. Jsou zde nabízeny </w:t>
      </w:r>
      <w:r>
        <w:rPr>
          <w:rStyle w:val="notranslate"/>
        </w:rPr>
        <w:t>vzdělávací aktivity pro děti a mladé lidi v oblasti umění, hudby, tance, divadla, pantomimy a nových výrazových forem. Stálá expozice představuje historii města Helsingborg.</w:t>
      </w:r>
    </w:p>
    <w:sectPr w:rsidR="00F74199" w:rsidSect="00604F1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99" w:rsidRDefault="00F74199">
      <w:r>
        <w:separator/>
      </w:r>
    </w:p>
  </w:endnote>
  <w:endnote w:type="continuationSeparator" w:id="0">
    <w:p w:rsidR="00F74199" w:rsidRDefault="00F7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99" w:rsidRDefault="00F74199">
    <w:pPr>
      <w:pStyle w:val="Footer"/>
    </w:pPr>
    <w:r>
      <w:fldChar w:fldCharType="begin"/>
    </w:r>
    <w:r>
      <w:instrText>PAGE   \* MERGEFORMAT</w:instrText>
    </w:r>
    <w:r>
      <w:fldChar w:fldCharType="separate"/>
    </w:r>
    <w:r>
      <w:rPr>
        <w:noProof/>
      </w:rPr>
      <w:t>1</w:t>
    </w:r>
    <w:r>
      <w:fldChar w:fldCharType="end"/>
    </w:r>
  </w:p>
  <w:p w:rsidR="00F74199" w:rsidRPr="00CA5218" w:rsidRDefault="00F74199" w:rsidP="00281DF0">
    <w:pPr>
      <w:pStyle w:val="Footer"/>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99" w:rsidRDefault="00F74199">
      <w:r>
        <w:separator/>
      </w:r>
    </w:p>
  </w:footnote>
  <w:footnote w:type="continuationSeparator" w:id="0">
    <w:p w:rsidR="00F74199" w:rsidRDefault="00F74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99" w:rsidRDefault="00F7419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57.75pt">
          <v:imagedata r:id="rId1" o:title=""/>
        </v:shape>
      </w:pict>
    </w:r>
  </w:p>
  <w:p w:rsidR="00F74199" w:rsidRDefault="00F74199">
    <w:pPr>
      <w:pStyle w:val="Header"/>
    </w:pPr>
    <w:r>
      <w:rPr>
        <w:noProof/>
      </w:rPr>
      <w:pict>
        <v:line id="Line 6" o:spid="_x0000_s2049" style="position:absolute;z-index:251659264;visibility:visible" from="0,9pt" to="450pt,9pt" strokecolor="red"/>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13BF3"/>
    <w:multiLevelType w:val="hybridMultilevel"/>
    <w:tmpl w:val="25A6DE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3937A4E"/>
    <w:multiLevelType w:val="hybridMultilevel"/>
    <w:tmpl w:val="8C480A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82B"/>
    <w:rsid w:val="0001482B"/>
    <w:rsid w:val="000242DC"/>
    <w:rsid w:val="00031E53"/>
    <w:rsid w:val="00046EB2"/>
    <w:rsid w:val="0006007D"/>
    <w:rsid w:val="00081212"/>
    <w:rsid w:val="000A078D"/>
    <w:rsid w:val="0010674E"/>
    <w:rsid w:val="00106E8E"/>
    <w:rsid w:val="00131B88"/>
    <w:rsid w:val="00145409"/>
    <w:rsid w:val="00153BB3"/>
    <w:rsid w:val="00160A9E"/>
    <w:rsid w:val="00165F90"/>
    <w:rsid w:val="00167FCD"/>
    <w:rsid w:val="00171E27"/>
    <w:rsid w:val="00173B87"/>
    <w:rsid w:val="001B1E3A"/>
    <w:rsid w:val="001C4128"/>
    <w:rsid w:val="001C6564"/>
    <w:rsid w:val="00252A25"/>
    <w:rsid w:val="002675FB"/>
    <w:rsid w:val="00275800"/>
    <w:rsid w:val="00281DF0"/>
    <w:rsid w:val="00311872"/>
    <w:rsid w:val="00344A6C"/>
    <w:rsid w:val="00377A48"/>
    <w:rsid w:val="003A11DA"/>
    <w:rsid w:val="003A6044"/>
    <w:rsid w:val="003B0CED"/>
    <w:rsid w:val="004354A3"/>
    <w:rsid w:val="00466446"/>
    <w:rsid w:val="00467645"/>
    <w:rsid w:val="004A0D9A"/>
    <w:rsid w:val="004A61DA"/>
    <w:rsid w:val="004D7654"/>
    <w:rsid w:val="0054197E"/>
    <w:rsid w:val="00570934"/>
    <w:rsid w:val="00595F10"/>
    <w:rsid w:val="005A21CE"/>
    <w:rsid w:val="005C02A1"/>
    <w:rsid w:val="005E1E28"/>
    <w:rsid w:val="006019DC"/>
    <w:rsid w:val="00604F10"/>
    <w:rsid w:val="00611C48"/>
    <w:rsid w:val="00616E4E"/>
    <w:rsid w:val="0063054A"/>
    <w:rsid w:val="006319B3"/>
    <w:rsid w:val="00656BAF"/>
    <w:rsid w:val="00694270"/>
    <w:rsid w:val="00795BD8"/>
    <w:rsid w:val="00850342"/>
    <w:rsid w:val="008542F2"/>
    <w:rsid w:val="00857E3C"/>
    <w:rsid w:val="00882BFC"/>
    <w:rsid w:val="008A5B5C"/>
    <w:rsid w:val="008C0B88"/>
    <w:rsid w:val="009141A1"/>
    <w:rsid w:val="009161BC"/>
    <w:rsid w:val="009536C6"/>
    <w:rsid w:val="00967314"/>
    <w:rsid w:val="009A2DF3"/>
    <w:rsid w:val="009B3CF4"/>
    <w:rsid w:val="009E7A7C"/>
    <w:rsid w:val="009F7098"/>
    <w:rsid w:val="00A20024"/>
    <w:rsid w:val="00A45CB5"/>
    <w:rsid w:val="00A71C6A"/>
    <w:rsid w:val="00A822C4"/>
    <w:rsid w:val="00AF2098"/>
    <w:rsid w:val="00B1347E"/>
    <w:rsid w:val="00B331D6"/>
    <w:rsid w:val="00B8010C"/>
    <w:rsid w:val="00B81E7A"/>
    <w:rsid w:val="00BC7CE8"/>
    <w:rsid w:val="00BD22D6"/>
    <w:rsid w:val="00C12D26"/>
    <w:rsid w:val="00C20231"/>
    <w:rsid w:val="00C30C79"/>
    <w:rsid w:val="00C428A2"/>
    <w:rsid w:val="00C531FF"/>
    <w:rsid w:val="00C537E2"/>
    <w:rsid w:val="00C6152E"/>
    <w:rsid w:val="00C91F55"/>
    <w:rsid w:val="00CA5218"/>
    <w:rsid w:val="00CA5FDF"/>
    <w:rsid w:val="00CB6050"/>
    <w:rsid w:val="00CD18DB"/>
    <w:rsid w:val="00D80FA1"/>
    <w:rsid w:val="00DC2055"/>
    <w:rsid w:val="00DD14AB"/>
    <w:rsid w:val="00DE1D6F"/>
    <w:rsid w:val="00DF228F"/>
    <w:rsid w:val="00DF28E6"/>
    <w:rsid w:val="00E21964"/>
    <w:rsid w:val="00E303ED"/>
    <w:rsid w:val="00E4485D"/>
    <w:rsid w:val="00E63E42"/>
    <w:rsid w:val="00E73A70"/>
    <w:rsid w:val="00E93CB4"/>
    <w:rsid w:val="00E96E4B"/>
    <w:rsid w:val="00F74199"/>
    <w:rsid w:val="00F950CF"/>
    <w:rsid w:val="00FD3FD6"/>
    <w:rsid w:val="00FF1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9A"/>
    <w:rPr>
      <w:sz w:val="24"/>
      <w:szCs w:val="24"/>
    </w:rPr>
  </w:style>
  <w:style w:type="paragraph" w:styleId="Heading1">
    <w:name w:val="heading 1"/>
    <w:basedOn w:val="Normal"/>
    <w:next w:val="Normal"/>
    <w:link w:val="Heading1Char"/>
    <w:uiPriority w:val="99"/>
    <w:qFormat/>
    <w:rsid w:val="004A0D9A"/>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D9A"/>
    <w:rPr>
      <w:b/>
      <w:bCs/>
      <w:sz w:val="24"/>
      <w:szCs w:val="24"/>
    </w:rPr>
  </w:style>
  <w:style w:type="paragraph" w:styleId="Header">
    <w:name w:val="header"/>
    <w:basedOn w:val="Normal"/>
    <w:link w:val="HeaderChar"/>
    <w:uiPriority w:val="99"/>
    <w:rsid w:val="001B1E3A"/>
    <w:pPr>
      <w:tabs>
        <w:tab w:val="center" w:pos="4536"/>
        <w:tab w:val="right" w:pos="9072"/>
      </w:tabs>
    </w:pPr>
  </w:style>
  <w:style w:type="character" w:customStyle="1" w:styleId="HeaderChar">
    <w:name w:val="Header Char"/>
    <w:basedOn w:val="DefaultParagraphFont"/>
    <w:link w:val="Header"/>
    <w:uiPriority w:val="99"/>
    <w:semiHidden/>
    <w:rsid w:val="00682109"/>
    <w:rPr>
      <w:sz w:val="24"/>
      <w:szCs w:val="24"/>
    </w:rPr>
  </w:style>
  <w:style w:type="paragraph" w:styleId="Footer">
    <w:name w:val="footer"/>
    <w:basedOn w:val="Normal"/>
    <w:link w:val="FooterChar"/>
    <w:uiPriority w:val="99"/>
    <w:rsid w:val="001B1E3A"/>
    <w:pPr>
      <w:tabs>
        <w:tab w:val="center" w:pos="4536"/>
        <w:tab w:val="right" w:pos="9072"/>
      </w:tabs>
    </w:pPr>
  </w:style>
  <w:style w:type="character" w:customStyle="1" w:styleId="FooterChar">
    <w:name w:val="Footer Char"/>
    <w:basedOn w:val="DefaultParagraphFont"/>
    <w:link w:val="Footer"/>
    <w:uiPriority w:val="99"/>
    <w:rsid w:val="00A20024"/>
    <w:rPr>
      <w:sz w:val="24"/>
      <w:szCs w:val="24"/>
    </w:rPr>
  </w:style>
  <w:style w:type="character" w:styleId="Hyperlink">
    <w:name w:val="Hyperlink"/>
    <w:basedOn w:val="DefaultParagraphFont"/>
    <w:uiPriority w:val="99"/>
    <w:rsid w:val="00C537E2"/>
    <w:rPr>
      <w:color w:val="0000FF"/>
      <w:u w:val="single"/>
    </w:rPr>
  </w:style>
  <w:style w:type="paragraph" w:styleId="BalloonText">
    <w:name w:val="Balloon Text"/>
    <w:basedOn w:val="Normal"/>
    <w:link w:val="BalloonTextChar"/>
    <w:uiPriority w:val="99"/>
    <w:semiHidden/>
    <w:rsid w:val="001C6564"/>
    <w:rPr>
      <w:rFonts w:ascii="Tahoma" w:hAnsi="Tahoma" w:cs="Tahoma"/>
      <w:sz w:val="16"/>
      <w:szCs w:val="16"/>
    </w:rPr>
  </w:style>
  <w:style w:type="character" w:customStyle="1" w:styleId="BalloonTextChar">
    <w:name w:val="Balloon Text Char"/>
    <w:basedOn w:val="DefaultParagraphFont"/>
    <w:link w:val="BalloonText"/>
    <w:uiPriority w:val="99"/>
    <w:semiHidden/>
    <w:rsid w:val="00682109"/>
    <w:rPr>
      <w:sz w:val="0"/>
      <w:szCs w:val="0"/>
    </w:rPr>
  </w:style>
  <w:style w:type="paragraph" w:styleId="Title">
    <w:name w:val="Title"/>
    <w:basedOn w:val="Normal"/>
    <w:link w:val="TitleChar"/>
    <w:uiPriority w:val="99"/>
    <w:qFormat/>
    <w:rsid w:val="004A0D9A"/>
    <w:pPr>
      <w:jc w:val="center"/>
    </w:pPr>
    <w:rPr>
      <w:b/>
      <w:bCs/>
      <w:sz w:val="28"/>
      <w:szCs w:val="28"/>
    </w:rPr>
  </w:style>
  <w:style w:type="character" w:customStyle="1" w:styleId="TitleChar">
    <w:name w:val="Title Char"/>
    <w:basedOn w:val="DefaultParagraphFont"/>
    <w:link w:val="Title"/>
    <w:uiPriority w:val="99"/>
    <w:rsid w:val="004A0D9A"/>
    <w:rPr>
      <w:b/>
      <w:bCs/>
      <w:sz w:val="28"/>
      <w:szCs w:val="28"/>
    </w:rPr>
  </w:style>
  <w:style w:type="paragraph" w:styleId="EndnoteText">
    <w:name w:val="endnote text"/>
    <w:basedOn w:val="Normal"/>
    <w:link w:val="EndnoteTextChar"/>
    <w:uiPriority w:val="99"/>
    <w:semiHidden/>
    <w:rsid w:val="004A0D9A"/>
    <w:rPr>
      <w:sz w:val="20"/>
      <w:szCs w:val="20"/>
    </w:rPr>
  </w:style>
  <w:style w:type="character" w:customStyle="1" w:styleId="EndnoteTextChar">
    <w:name w:val="Endnote Text Char"/>
    <w:basedOn w:val="DefaultParagraphFont"/>
    <w:link w:val="EndnoteText"/>
    <w:uiPriority w:val="99"/>
    <w:rsid w:val="004A0D9A"/>
  </w:style>
  <w:style w:type="character" w:styleId="EndnoteReference">
    <w:name w:val="endnote reference"/>
    <w:basedOn w:val="DefaultParagraphFont"/>
    <w:uiPriority w:val="99"/>
    <w:semiHidden/>
    <w:rsid w:val="004A0D9A"/>
    <w:rPr>
      <w:vertAlign w:val="superscript"/>
    </w:rPr>
  </w:style>
  <w:style w:type="character" w:styleId="IntenseEmphasis">
    <w:name w:val="Intense Emphasis"/>
    <w:basedOn w:val="DefaultParagraphFont"/>
    <w:uiPriority w:val="99"/>
    <w:qFormat/>
    <w:rsid w:val="00FF14C1"/>
    <w:rPr>
      <w:b/>
      <w:bCs/>
      <w:i/>
      <w:iCs/>
      <w:color w:val="4F81BD"/>
    </w:rPr>
  </w:style>
  <w:style w:type="paragraph" w:styleId="ListParagraph">
    <w:name w:val="List Paragraph"/>
    <w:basedOn w:val="Normal"/>
    <w:uiPriority w:val="99"/>
    <w:qFormat/>
    <w:rsid w:val="00165F90"/>
    <w:pPr>
      <w:ind w:left="720"/>
    </w:pPr>
  </w:style>
  <w:style w:type="character" w:customStyle="1" w:styleId="notranslate">
    <w:name w:val="notranslate"/>
    <w:basedOn w:val="DefaultParagraphFont"/>
    <w:uiPriority w:val="99"/>
    <w:rsid w:val="0004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4</Pages>
  <Words>1550</Words>
  <Characters>9147</Characters>
  <Application>Microsoft Office Word</Application>
  <DocSecurity>0</DocSecurity>
  <Lines>0</Lines>
  <Paragraphs>0</Paragraphs>
  <ScaleCrop>false</ScaleCrop>
  <Company>Národní knihovna ČR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Smetanová Dana</dc:creator>
  <cp:keywords/>
  <dc:description/>
  <cp:lastModifiedBy>Eva</cp:lastModifiedBy>
  <cp:revision>8</cp:revision>
  <cp:lastPrinted>2015-04-30T10:01:00Z</cp:lastPrinted>
  <dcterms:created xsi:type="dcterms:W3CDTF">2015-04-30T08:50:00Z</dcterms:created>
  <dcterms:modified xsi:type="dcterms:W3CDTF">2015-05-06T14:01:00Z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