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C1" w:rsidRPr="00181F80" w:rsidRDefault="00FF14C1" w:rsidP="004A0D9A">
      <w:pPr>
        <w:pStyle w:val="Nzev"/>
        <w:rPr>
          <w:rFonts w:asciiTheme="minorHAnsi" w:hAnsiTheme="minorHAnsi" w:cstheme="minorHAnsi"/>
          <w:sz w:val="21"/>
          <w:szCs w:val="21"/>
        </w:rPr>
      </w:pPr>
    </w:p>
    <w:p w:rsidR="004A0D9A" w:rsidRPr="00181F80" w:rsidRDefault="004A0D9A" w:rsidP="004A0D9A">
      <w:pPr>
        <w:pStyle w:val="Nzev"/>
        <w:rPr>
          <w:rStyle w:val="Zdraznnintenzivn"/>
          <w:sz w:val="21"/>
          <w:szCs w:val="21"/>
        </w:rPr>
      </w:pPr>
      <w:r w:rsidRPr="00181F80">
        <w:rPr>
          <w:rStyle w:val="Zdraznnintenzivn"/>
          <w:sz w:val="21"/>
          <w:szCs w:val="21"/>
        </w:rPr>
        <w:t>Zpráva ze zahraniční služební cesty</w:t>
      </w:r>
    </w:p>
    <w:p w:rsidR="004A0D9A" w:rsidRPr="00181F80" w:rsidRDefault="004A0D9A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FF14C1" w:rsidRPr="00181F80" w:rsidRDefault="00FF14C1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pStyle w:val="Nadpis1"/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Mgr. Jindřich Marek, Ph.D.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1.5.1 ORST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1F80" w:rsidRDefault="00126017" w:rsidP="00A822C4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Oddělení rukopisů a starých tisků – odborný pracovník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1F80" w:rsidRDefault="007726E7" w:rsidP="00566DA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726E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účast na výročním zasedání konsorcia TEI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1F80" w:rsidRDefault="007726E7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Lyon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1F80" w:rsidRDefault="007726E7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Francie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1F80" w:rsidRDefault="007726E7" w:rsidP="007726E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27</w:t>
            </w:r>
            <w:r w:rsidR="00AA7BF2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.–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31</w:t>
            </w:r>
            <w:proofErr w:type="gramEnd"/>
            <w:r w:rsidR="004762B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</w:t>
            </w:r>
            <w:r w:rsidR="00566DA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10</w:t>
            </w:r>
            <w:r w:rsidR="004D2F58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 201</w:t>
            </w:r>
            <w:r w:rsidR="001F0D5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5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C32F0E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27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 1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762B0" w:rsidRDefault="00C32F0E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12.25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odlet z Letiště Václava Havla Praha</w:t>
            </w:r>
          </w:p>
          <w:p w:rsidR="004762B0" w:rsidRDefault="00C32F0E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17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přílet na letiště Lyon Saint Exupéry</w:t>
            </w:r>
          </w:p>
          <w:p w:rsidR="00CD6EB0" w:rsidRPr="00181F80" w:rsidRDefault="00CD6EB0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26017" w:rsidRDefault="00C32F0E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>28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.–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31</w:t>
            </w:r>
            <w:proofErr w:type="gramEnd"/>
            <w:r w:rsidR="004762B0">
              <w:rPr>
                <w:rFonts w:asciiTheme="minorHAnsi" w:hAnsiTheme="minorHAnsi" w:cstheme="minorHAnsi"/>
                <w:sz w:val="21"/>
                <w:szCs w:val="21"/>
              </w:rPr>
              <w:t>. 1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C32F0E" w:rsidRDefault="00C32F0E" w:rsidP="008467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32F0E">
              <w:rPr>
                <w:rFonts w:asciiTheme="minorHAnsi" w:hAnsiTheme="minorHAnsi" w:cstheme="minorHAnsi"/>
                <w:sz w:val="21"/>
                <w:szCs w:val="21"/>
              </w:rPr>
              <w:t>účast na výročním zasedání konsorcia TEI</w:t>
            </w:r>
          </w:p>
          <w:p w:rsidR="00CD6EB0" w:rsidRDefault="00CD6EB0" w:rsidP="008467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program: </w:t>
            </w:r>
            <w:hyperlink r:id="rId11" w:history="1">
              <w:r w:rsidRPr="00CD6EB0">
                <w:rPr>
                  <w:rStyle w:val="Hypertextovodkaz"/>
                  <w:rFonts w:asciiTheme="minorHAnsi" w:hAnsiTheme="minorHAnsi" w:cstheme="minorHAnsi"/>
                  <w:sz w:val="21"/>
                  <w:szCs w:val="21"/>
                </w:rPr>
                <w:t>http://tei2015.huma-num.fr/en/overview/</w:t>
              </w:r>
            </w:hyperlink>
          </w:p>
          <w:p w:rsidR="00CD6EB0" w:rsidRDefault="00CD6EB0" w:rsidP="0084679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4D2F58" w:rsidRDefault="00C32F0E" w:rsidP="008467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31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 1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762B0" w:rsidRDefault="004762B0" w:rsidP="008467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C32F0E"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C32F0E">
              <w:rPr>
                <w:rFonts w:asciiTheme="minorHAnsi" w:hAnsiTheme="minorHAnsi" w:cstheme="minorHAnsi"/>
                <w:sz w:val="21"/>
                <w:szCs w:val="21"/>
              </w:rPr>
              <w:t>40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32F0E">
              <w:rPr>
                <w:rFonts w:asciiTheme="minorHAnsi" w:hAnsiTheme="minorHAnsi" w:cstheme="minorHAnsi"/>
                <w:sz w:val="21"/>
                <w:szCs w:val="21"/>
              </w:rPr>
              <w:t>odlet z letiště Lyon Saint Exupéry</w:t>
            </w:r>
          </w:p>
          <w:p w:rsidR="004762B0" w:rsidRPr="00181F80" w:rsidRDefault="00566DA3" w:rsidP="00C32F0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C32F0E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C32F0E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48127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32F0E">
              <w:rPr>
                <w:rFonts w:asciiTheme="minorHAnsi" w:hAnsiTheme="minorHAnsi" w:cstheme="minorHAnsi"/>
                <w:sz w:val="21"/>
                <w:szCs w:val="21"/>
              </w:rPr>
              <w:t>přílet na Letiště Václava Havla Praha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181F80" w:rsidRDefault="00566DA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181F80" w:rsidRDefault="007726E7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0132</w:t>
            </w:r>
          </w:p>
        </w:tc>
      </w:tr>
      <w:tr w:rsidR="004A0D9A" w:rsidRPr="00181F80" w:rsidTr="00A822C4">
        <w:trPr>
          <w:trHeight w:val="318"/>
        </w:trPr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D031A6" w:rsidRPr="00D031A6" w:rsidRDefault="00D031A6" w:rsidP="00F43DDB">
            <w:pPr>
              <w:pStyle w:val="Prosttext"/>
              <w:numPr>
                <w:ilvl w:val="0"/>
                <w:numId w:val="5"/>
              </w:numPr>
              <w:rPr>
                <w:rFonts w:asciiTheme="minorHAnsi" w:hAnsiTheme="minorHAnsi" w:cs="Courier New"/>
              </w:rPr>
            </w:pPr>
            <w:r w:rsidRPr="00D031A6">
              <w:rPr>
                <w:rFonts w:asciiTheme="minorHAnsi" w:hAnsiTheme="minorHAnsi" w:cs="Courier New"/>
              </w:rPr>
              <w:t>Účast na výročním zasedání konsorcia TEI</w:t>
            </w:r>
            <w:r w:rsidR="00F43DDB">
              <w:rPr>
                <w:rFonts w:asciiTheme="minorHAnsi" w:hAnsiTheme="minorHAnsi" w:cs="Courier New"/>
              </w:rPr>
              <w:t>, volby do jeho statutárních orgánů</w:t>
            </w:r>
            <w:r w:rsidRPr="00D031A6">
              <w:rPr>
                <w:rFonts w:asciiTheme="minorHAnsi" w:hAnsiTheme="minorHAnsi" w:cs="Courier New"/>
              </w:rPr>
              <w:t>.</w:t>
            </w:r>
          </w:p>
          <w:p w:rsidR="00D031A6" w:rsidRPr="00D031A6" w:rsidRDefault="00D031A6" w:rsidP="00D031A6">
            <w:pPr>
              <w:pStyle w:val="Prosttext"/>
              <w:numPr>
                <w:ilvl w:val="0"/>
                <w:numId w:val="5"/>
              </w:numPr>
              <w:rPr>
                <w:rFonts w:asciiTheme="minorHAnsi" w:hAnsiTheme="minorHAnsi" w:cs="Courier New"/>
              </w:rPr>
            </w:pPr>
            <w:r w:rsidRPr="00D031A6">
              <w:rPr>
                <w:rFonts w:asciiTheme="minorHAnsi" w:hAnsiTheme="minorHAnsi" w:cs="Courier New"/>
              </w:rPr>
              <w:t>Sledování nových trendů v TEI a XML obecně</w:t>
            </w:r>
            <w:r w:rsidR="00881998">
              <w:rPr>
                <w:rFonts w:asciiTheme="minorHAnsi" w:hAnsiTheme="minorHAnsi" w:cs="Courier New"/>
              </w:rPr>
              <w:t>, zejména pokud jde o zpracování rukopisů a edice</w:t>
            </w:r>
            <w:r w:rsidRPr="00D031A6">
              <w:rPr>
                <w:rFonts w:asciiTheme="minorHAnsi" w:hAnsiTheme="minorHAnsi" w:cs="Courier New"/>
              </w:rPr>
              <w:t>.</w:t>
            </w:r>
          </w:p>
          <w:p w:rsidR="00B3613E" w:rsidRPr="00FB48B3" w:rsidRDefault="00D031A6" w:rsidP="00CD6EB0">
            <w:pPr>
              <w:pStyle w:val="Prosttext"/>
              <w:numPr>
                <w:ilvl w:val="0"/>
                <w:numId w:val="5"/>
              </w:numPr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Účast</w:t>
            </w:r>
            <w:r w:rsidRPr="00D031A6">
              <w:rPr>
                <w:rFonts w:asciiTheme="minorHAnsi" w:hAnsiTheme="minorHAnsi" w:cs="Courier New"/>
              </w:rPr>
              <w:t xml:space="preserve"> na setkání zájmov</w:t>
            </w:r>
            <w:r>
              <w:rPr>
                <w:rFonts w:asciiTheme="minorHAnsi" w:hAnsiTheme="minorHAnsi" w:cs="Courier New"/>
              </w:rPr>
              <w:t>é</w:t>
            </w:r>
            <w:r w:rsidRPr="00D031A6">
              <w:rPr>
                <w:rFonts w:asciiTheme="minorHAnsi" w:hAnsiTheme="minorHAnsi" w:cs="Courier New"/>
              </w:rPr>
              <w:t xml:space="preserve"> skupin</w:t>
            </w:r>
            <w:r>
              <w:rPr>
                <w:rFonts w:asciiTheme="minorHAnsi" w:hAnsiTheme="minorHAnsi" w:cs="Courier New"/>
              </w:rPr>
              <w:t>y</w:t>
            </w:r>
            <w:r w:rsidRPr="00D031A6">
              <w:rPr>
                <w:rFonts w:asciiTheme="minorHAnsi" w:hAnsiTheme="minorHAnsi" w:cs="Courier New"/>
              </w:rPr>
              <w:t xml:space="preserve"> k rukopisům.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226A8F" w:rsidRDefault="004D2F58" w:rsidP="00B3133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 byly splněny.</w:t>
            </w:r>
          </w:p>
          <w:p w:rsidR="00FB48B3" w:rsidRDefault="00FB48B3" w:rsidP="00B3133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591540" w:rsidRDefault="00591540" w:rsidP="00FB48B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V</w:t>
            </w:r>
            <w:r w:rsidR="00DE2FA7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proofErr w:type="spellStart"/>
            <w:r w:rsidR="00DE2FA7">
              <w:rPr>
                <w:rFonts w:asciiTheme="minorHAnsi" w:hAnsiTheme="minorHAnsi" w:cstheme="minorHAnsi"/>
                <w:sz w:val="21"/>
                <w:szCs w:val="21"/>
              </w:rPr>
              <w:t>příspěvcch</w:t>
            </w:r>
            <w:proofErr w:type="spellEnd"/>
            <w:r w:rsidR="00DE2FA7">
              <w:rPr>
                <w:rFonts w:asciiTheme="minorHAnsi" w:hAnsiTheme="minorHAnsi" w:cstheme="minorHAnsi"/>
                <w:sz w:val="21"/>
                <w:szCs w:val="21"/>
              </w:rPr>
              <w:t>, které na konferenci zazněly,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se projevily tendence, které jsou nyní aktuální v oblasti „Digital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Humanities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“: Je udělováno spíše méně větších projektů, z nichž některé mají infrastrukturní význam. Jde zejména o budování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repozitářů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a udržování textů, ať už pro potřeby historického nebo filologického studia. K tomu patří i vyvíjení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sad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 nástrojů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pro účely konverze a zpracování dat.</w:t>
            </w:r>
          </w:p>
          <w:p w:rsidR="00591540" w:rsidRDefault="00591540" w:rsidP="00FB48B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Pokud jde o samotný standard TEI, úspěšně pokračuje vývoj schématu TEI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Simple</w:t>
            </w:r>
            <w:proofErr w:type="spellEnd"/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který je výběrem ze standardu</w:t>
            </w:r>
            <w:r w:rsidR="0049618A">
              <w:rPr>
                <w:rFonts w:asciiTheme="minorHAnsi" w:hAnsiTheme="minorHAnsi" w:cstheme="minorHAnsi"/>
                <w:sz w:val="21"/>
                <w:szCs w:val="21"/>
              </w:rPr>
              <w:t>, který by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měl postihnout všechny důležité elementy pro kódování textu (nikoliv ale například standard pro popis rukopisů). Toto schéma staví na</w:t>
            </w:r>
            <w:r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 oddělení rolí editora, programátora a designéra (ač je fakti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cky může vykonávat jedna osoba) a na existenci dalších</w:t>
            </w:r>
            <w:r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nástrojů pro zpracování takto kódovaných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textů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 K</w:t>
            </w:r>
            <w:r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 základní sadě elementů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tak přistupují zejména </w:t>
            </w:r>
            <w:r w:rsidRPr="00FB48B3">
              <w:rPr>
                <w:rFonts w:asciiTheme="minorHAnsi" w:hAnsiTheme="minorHAnsi" w:cstheme="minorHAnsi"/>
                <w:sz w:val="21"/>
                <w:szCs w:val="21"/>
              </w:rPr>
              <w:t>edi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tovatelné transformační styly.</w:t>
            </w:r>
          </w:p>
          <w:p w:rsidR="00FB48B3" w:rsidRPr="00FB48B3" w:rsidRDefault="00591540" w:rsidP="00FB48B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Obecně je v pojetí schématu</w:t>
            </w:r>
            <w:r w:rsidR="00D14755">
              <w:rPr>
                <w:rFonts w:asciiTheme="minorHAnsi" w:hAnsiTheme="minorHAnsi" w:cstheme="minorHAnsi"/>
                <w:sz w:val="21"/>
                <w:szCs w:val="21"/>
              </w:rPr>
              <w:t xml:space="preserve"> TEI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kladen větší 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důraz na intenci,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která je za technickým vyjádřením. Sílí hlasy, že je třeba oprostit se od XML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 jako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od v 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>některých ohledech rigidní výrazové formy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která vnucuje uživatelům stromovou strukturu dokumentu a má jen velmi omezené možnosti pro vyjádření jeho paralelní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segmenatce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EF32AB" w:rsidRDefault="00A44206" w:rsidP="00FB48B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 zasedání zájmové skupiny k rukopisům byly představeny novinky v poslední verzi standardu</w:t>
            </w:r>
            <w:r w:rsidR="00630B66">
              <w:rPr>
                <w:rFonts w:asciiTheme="minorHAnsi" w:hAnsiTheme="minorHAnsi" w:cstheme="minorHAnsi"/>
                <w:sz w:val="21"/>
                <w:szCs w:val="21"/>
              </w:rPr>
              <w:t>, pokud jde o popis rukopisů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630B66">
              <w:rPr>
                <w:rFonts w:asciiTheme="minorHAnsi" w:hAnsiTheme="minorHAnsi" w:cstheme="minorHAnsi"/>
                <w:sz w:val="21"/>
                <w:szCs w:val="21"/>
              </w:rPr>
              <w:t>Elementy vyjadřující kritický aparát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r w:rsidR="00630B66">
              <w:rPr>
                <w:rFonts w:asciiTheme="minorHAnsi" w:hAnsiTheme="minorHAnsi" w:cstheme="minorHAnsi"/>
                <w:sz w:val="21"/>
                <w:szCs w:val="21"/>
              </w:rPr>
              <w:t>nyní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 mo</w:t>
            </w:r>
            <w:r w:rsidR="00630B66">
              <w:rPr>
                <w:rFonts w:asciiTheme="minorHAnsi" w:hAnsiTheme="minorHAnsi" w:cstheme="minorHAnsi"/>
                <w:sz w:val="21"/>
                <w:szCs w:val="21"/>
              </w:rPr>
              <w:t>žné užívat kdekoliv v dokumentu. T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>ím se částečně vyvažuje preference fyzických znak</w:t>
            </w:r>
            <w:r w:rsidR="00630B66">
              <w:rPr>
                <w:rFonts w:asciiTheme="minorHAnsi" w:hAnsiTheme="minorHAnsi" w:cstheme="minorHAnsi"/>
                <w:sz w:val="21"/>
                <w:szCs w:val="21"/>
              </w:rPr>
              <w:t>ů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 rukopisu</w:t>
            </w:r>
            <w:r w:rsidR="00630B66">
              <w:rPr>
                <w:rFonts w:asciiTheme="minorHAnsi" w:hAnsiTheme="minorHAnsi" w:cstheme="minorHAnsi"/>
                <w:sz w:val="21"/>
                <w:szCs w:val="21"/>
              </w:rPr>
              <w:t>, která byla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 v modulu pro popis rukopisů</w:t>
            </w:r>
            <w:r w:rsidR="00630B66">
              <w:rPr>
                <w:rFonts w:asciiTheme="minorHAnsi" w:hAnsiTheme="minorHAnsi" w:cstheme="minorHAnsi"/>
                <w:sz w:val="21"/>
                <w:szCs w:val="21"/>
              </w:rPr>
              <w:t xml:space="preserve"> přítomná od samotného počátku (a stejně tak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 v předchozím standardu MASTER</w:t>
            </w:r>
            <w:r w:rsidR="00630B66">
              <w:rPr>
                <w:rFonts w:asciiTheme="minorHAnsi" w:hAnsiTheme="minorHAnsi" w:cstheme="minorHAnsi"/>
                <w:sz w:val="21"/>
                <w:szCs w:val="21"/>
              </w:rPr>
              <w:t xml:space="preserve">). </w:t>
            </w:r>
            <w:r w:rsidR="00EF32AB">
              <w:rPr>
                <w:rFonts w:asciiTheme="minorHAnsi" w:hAnsiTheme="minorHAnsi" w:cstheme="minorHAnsi"/>
                <w:sz w:val="21"/>
                <w:szCs w:val="21"/>
              </w:rPr>
              <w:t>J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inak </w:t>
            </w:r>
            <w:r w:rsidR="00EF32AB">
              <w:rPr>
                <w:rFonts w:asciiTheme="minorHAnsi" w:hAnsiTheme="minorHAnsi" w:cstheme="minorHAnsi"/>
                <w:sz w:val="21"/>
                <w:szCs w:val="21"/>
              </w:rPr>
              <w:t>byl probírán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F32AB">
              <w:rPr>
                <w:rFonts w:asciiTheme="minorHAnsi" w:hAnsiTheme="minorHAnsi" w:cstheme="minorHAnsi"/>
                <w:sz w:val="21"/>
                <w:szCs w:val="21"/>
              </w:rPr>
              <w:t xml:space="preserve">především zápis kritického aparátu 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užívaný </w:t>
            </w:r>
            <w:r w:rsidR="00EF32AB">
              <w:rPr>
                <w:rFonts w:asciiTheme="minorHAnsi" w:hAnsiTheme="minorHAnsi" w:cstheme="minorHAnsi"/>
                <w:sz w:val="21"/>
                <w:szCs w:val="21"/>
              </w:rPr>
              <w:t xml:space="preserve">pro 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přepisy </w:t>
            </w:r>
            <w:r w:rsidR="00EF32AB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="00EF32AB">
              <w:rPr>
                <w:rFonts w:asciiTheme="minorHAnsi" w:hAnsiTheme="minorHAnsi" w:cstheme="minorHAnsi"/>
                <w:sz w:val="21"/>
                <w:szCs w:val="21"/>
              </w:rPr>
              <w:t>derních rukopisů.</w:t>
            </w:r>
          </w:p>
          <w:p w:rsidR="00FB48B3" w:rsidRPr="00181F80" w:rsidRDefault="00EF32AB" w:rsidP="008F703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Příspěvky týkající se </w:t>
            </w:r>
            <w:r w:rsidR="0049618A">
              <w:rPr>
                <w:rFonts w:asciiTheme="minorHAnsi" w:hAnsiTheme="minorHAnsi" w:cstheme="minorHAnsi"/>
                <w:sz w:val="21"/>
                <w:szCs w:val="21"/>
              </w:rPr>
              <w:t>rukopisů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 zazněly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ovšem také v 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>jednotlivých sezeních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11179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C0DBE">
              <w:rPr>
                <w:rFonts w:asciiTheme="minorHAnsi" w:hAnsiTheme="minorHAnsi" w:cstheme="minorHAnsi"/>
                <w:sz w:val="21"/>
                <w:szCs w:val="21"/>
              </w:rPr>
              <w:t xml:space="preserve">Zmíním zde jen ty, které považuji za zvláště podnětné. </w:t>
            </w:r>
            <w:r w:rsidR="00111791">
              <w:rPr>
                <w:rFonts w:asciiTheme="minorHAnsi" w:hAnsiTheme="minorHAnsi" w:cstheme="minorHAnsi"/>
                <w:sz w:val="21"/>
                <w:szCs w:val="21"/>
              </w:rPr>
              <w:t xml:space="preserve">Peter Anthony </w:t>
            </w:r>
            <w:proofErr w:type="spellStart"/>
            <w:r w:rsidR="00111791">
              <w:rPr>
                <w:rFonts w:asciiTheme="minorHAnsi" w:hAnsiTheme="minorHAnsi" w:cstheme="minorHAnsi"/>
                <w:sz w:val="21"/>
                <w:szCs w:val="21"/>
              </w:rPr>
              <w:t>Stokes</w:t>
            </w:r>
            <w:proofErr w:type="spellEnd"/>
            <w:r w:rsidR="001C0DBE">
              <w:rPr>
                <w:rFonts w:asciiTheme="minorHAnsi" w:hAnsiTheme="minorHAnsi" w:cstheme="minorHAnsi"/>
                <w:sz w:val="21"/>
                <w:szCs w:val="21"/>
              </w:rPr>
              <w:t xml:space="preserve"> se v rámci připravované elektronické</w:t>
            </w:r>
            <w:r w:rsidR="0011179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edice </w:t>
            </w:r>
            <w:proofErr w:type="spellStart"/>
            <w:r w:rsidR="001C0DBE">
              <w:rPr>
                <w:rFonts w:asciiTheme="minorHAnsi" w:hAnsiTheme="minorHAnsi" w:cstheme="minorHAnsi"/>
                <w:sz w:val="21"/>
                <w:szCs w:val="21"/>
              </w:rPr>
              <w:t>Exton</w:t>
            </w:r>
            <w:proofErr w:type="spellEnd"/>
            <w:r w:rsidR="001C0DB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1C0DBE">
              <w:rPr>
                <w:rFonts w:asciiTheme="minorHAnsi" w:hAnsiTheme="minorHAnsi" w:cstheme="minorHAnsi"/>
                <w:sz w:val="21"/>
                <w:szCs w:val="21"/>
              </w:rPr>
              <w:t>Domesday</w:t>
            </w:r>
            <w:proofErr w:type="spellEnd"/>
            <w:r w:rsidR="001C0DB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1C0DBE">
              <w:rPr>
                <w:rFonts w:asciiTheme="minorHAnsi" w:hAnsiTheme="minorHAnsi" w:cstheme="minorHAnsi"/>
                <w:sz w:val="21"/>
                <w:szCs w:val="21"/>
              </w:rPr>
              <w:t>Book</w:t>
            </w:r>
            <w:proofErr w:type="spellEnd"/>
            <w:r w:rsidR="001C0DBE">
              <w:rPr>
                <w:rFonts w:asciiTheme="minorHAnsi" w:hAnsiTheme="minorHAnsi" w:cstheme="minorHAnsi"/>
                <w:sz w:val="21"/>
                <w:szCs w:val="21"/>
              </w:rPr>
              <w:t xml:space="preserve"> zamýšlel nad možnostmi podrobného zápisu kolace rukopisu v XML a provázáním </w:t>
            </w:r>
            <w:r w:rsidR="008F703C">
              <w:rPr>
                <w:rFonts w:asciiTheme="minorHAnsi" w:hAnsiTheme="minorHAnsi" w:cstheme="minorHAnsi"/>
                <w:sz w:val="21"/>
                <w:szCs w:val="21"/>
              </w:rPr>
              <w:t xml:space="preserve">přepisu </w:t>
            </w:r>
            <w:r w:rsidR="001C0DBE">
              <w:rPr>
                <w:rFonts w:asciiTheme="minorHAnsi" w:hAnsiTheme="minorHAnsi" w:cstheme="minorHAnsi"/>
                <w:sz w:val="21"/>
                <w:szCs w:val="21"/>
              </w:rPr>
              <w:t xml:space="preserve">textu s údaji o fyzické podobě 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>kodexu</w:t>
            </w:r>
            <w:r w:rsidR="001074E5">
              <w:rPr>
                <w:rFonts w:asciiTheme="minorHAnsi" w:hAnsiTheme="minorHAnsi" w:cstheme="minorHAnsi"/>
                <w:sz w:val="21"/>
                <w:szCs w:val="21"/>
              </w:rPr>
              <w:t xml:space="preserve">. Pro novou variabilní edici, která se může proměňovat podle toho, jak byly složky rukopisu v průběhu času uspořádány, byl použit jazyk </w:t>
            </w:r>
            <w:proofErr w:type="spellStart"/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>Sch</w:t>
            </w:r>
            <w:r w:rsidR="001074E5">
              <w:rPr>
                <w:rFonts w:asciiTheme="minorHAnsi" w:hAnsiTheme="minorHAnsi" w:cstheme="minorHAnsi"/>
                <w:sz w:val="21"/>
                <w:szCs w:val="21"/>
              </w:rPr>
              <w:t>ematron</w:t>
            </w:r>
            <w:proofErr w:type="spellEnd"/>
            <w:r w:rsidR="001074E5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proofErr w:type="spellStart"/>
            <w:r w:rsidR="001074E5">
              <w:rPr>
                <w:rFonts w:asciiTheme="minorHAnsi" w:hAnsiTheme="minorHAnsi" w:cstheme="minorHAnsi"/>
                <w:sz w:val="21"/>
                <w:szCs w:val="21"/>
              </w:rPr>
              <w:t>Susanne</w:t>
            </w:r>
            <w:proofErr w:type="spellEnd"/>
            <w:r w:rsidR="001074E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1074E5">
              <w:rPr>
                <w:rFonts w:asciiTheme="minorHAnsi" w:hAnsiTheme="minorHAnsi" w:cstheme="minorHAnsi"/>
                <w:sz w:val="21"/>
                <w:szCs w:val="21"/>
              </w:rPr>
              <w:t>Haaf</w:t>
            </w:r>
            <w:proofErr w:type="spellEnd"/>
            <w:r w:rsidR="001074E5">
              <w:rPr>
                <w:rFonts w:asciiTheme="minorHAnsi" w:hAnsiTheme="minorHAnsi" w:cstheme="minorHAnsi"/>
                <w:sz w:val="21"/>
                <w:szCs w:val="21"/>
              </w:rPr>
              <w:t xml:space="preserve"> a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 Christian Thomas</w:t>
            </w:r>
            <w:r w:rsidR="001074E5">
              <w:rPr>
                <w:rFonts w:asciiTheme="minorHAnsi" w:hAnsiTheme="minorHAnsi" w:cstheme="minorHAnsi"/>
                <w:sz w:val="21"/>
                <w:szCs w:val="21"/>
              </w:rPr>
              <w:t xml:space="preserve"> představili </w:t>
            </w:r>
            <w:r w:rsidR="001074E5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nástroje pro </w:t>
            </w:r>
            <w:r w:rsidR="001074E5">
              <w:rPr>
                <w:rFonts w:asciiTheme="minorHAnsi" w:hAnsiTheme="minorHAnsi" w:cstheme="minorHAnsi"/>
                <w:sz w:val="21"/>
                <w:szCs w:val="21"/>
              </w:rPr>
              <w:t xml:space="preserve">automatické </w:t>
            </w:r>
            <w:r w:rsidR="001074E5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zpracování rukopisných </w:t>
            </w:r>
            <w:proofErr w:type="spellStart"/>
            <w:r w:rsidR="001074E5" w:rsidRPr="00FB48B3">
              <w:rPr>
                <w:rFonts w:asciiTheme="minorHAnsi" w:hAnsiTheme="minorHAnsi" w:cstheme="minorHAnsi"/>
                <w:sz w:val="21"/>
                <w:szCs w:val="21"/>
              </w:rPr>
              <w:t>digitalizátů</w:t>
            </w:r>
            <w:proofErr w:type="spellEnd"/>
            <w:r w:rsidR="001074E5">
              <w:rPr>
                <w:rFonts w:asciiTheme="minorHAnsi" w:hAnsiTheme="minorHAnsi" w:cstheme="minorHAnsi"/>
                <w:sz w:val="21"/>
                <w:szCs w:val="21"/>
              </w:rPr>
              <w:t xml:space="preserve">, jež konceptuálně vycházejí z kvantitativní kodikologie. Eva </w:t>
            </w:r>
            <w:proofErr w:type="spellStart"/>
            <w:r w:rsidR="001074E5">
              <w:rPr>
                <w:rFonts w:asciiTheme="minorHAnsi" w:hAnsiTheme="minorHAnsi" w:cstheme="minorHAnsi"/>
                <w:sz w:val="21"/>
                <w:szCs w:val="21"/>
              </w:rPr>
              <w:t>Nyström</w:t>
            </w:r>
            <w:proofErr w:type="spellEnd"/>
            <w:r w:rsidR="001074E5">
              <w:rPr>
                <w:rFonts w:asciiTheme="minorHAnsi" w:hAnsiTheme="minorHAnsi" w:cstheme="minorHAnsi"/>
                <w:sz w:val="21"/>
                <w:szCs w:val="21"/>
              </w:rPr>
              <w:t xml:space="preserve"> a Patrik </w:t>
            </w:r>
            <w:proofErr w:type="spellStart"/>
            <w:r w:rsidR="001074E5">
              <w:rPr>
                <w:rFonts w:asciiTheme="minorHAnsi" w:hAnsiTheme="minorHAnsi" w:cstheme="minorHAnsi"/>
                <w:sz w:val="21"/>
                <w:szCs w:val="21"/>
              </w:rPr>
              <w:t>Granholm</w:t>
            </w:r>
            <w:proofErr w:type="spellEnd"/>
            <w:r w:rsidR="001074E5">
              <w:rPr>
                <w:rFonts w:asciiTheme="minorHAnsi" w:hAnsiTheme="minorHAnsi" w:cstheme="minorHAnsi"/>
                <w:sz w:val="21"/>
                <w:szCs w:val="21"/>
              </w:rPr>
              <w:t xml:space="preserve"> pak při zamyšlení nad dokončovaným 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>souborný</w:t>
            </w:r>
            <w:r w:rsidR="001074E5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 xml:space="preserve"> katalog</w:t>
            </w:r>
            <w:r w:rsidR="001074E5">
              <w:rPr>
                <w:rFonts w:asciiTheme="minorHAnsi" w:hAnsiTheme="minorHAnsi" w:cstheme="minorHAnsi"/>
                <w:sz w:val="21"/>
                <w:szCs w:val="21"/>
              </w:rPr>
              <w:t xml:space="preserve">em </w:t>
            </w:r>
            <w:r w:rsidR="004073E5">
              <w:rPr>
                <w:rFonts w:asciiTheme="minorHAnsi" w:hAnsiTheme="minorHAnsi" w:cstheme="minorHAnsi"/>
                <w:sz w:val="21"/>
                <w:szCs w:val="21"/>
              </w:rPr>
              <w:t xml:space="preserve">středověkých </w:t>
            </w:r>
            <w:bookmarkStart w:id="0" w:name="_GoBack"/>
            <w:bookmarkEnd w:id="0"/>
            <w:r w:rsidR="001074E5">
              <w:rPr>
                <w:rFonts w:asciiTheme="minorHAnsi" w:hAnsiTheme="minorHAnsi" w:cstheme="minorHAnsi"/>
                <w:sz w:val="21"/>
                <w:szCs w:val="21"/>
              </w:rPr>
              <w:t>řeckých rukopisů ve Švédsku zformulovali některé konceptuální otázky spojené s povahou středověkých kodexů a jejich zpracováním pro elektronické prostředí, přičemž vycházeli z nejnovější oborové literatury (</w:t>
            </w:r>
            <w:proofErr w:type="spellStart"/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>Canart</w:t>
            </w:r>
            <w:proofErr w:type="spellEnd"/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>-Maniaci</w:t>
            </w:r>
            <w:r w:rsidR="001074E5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="00FB48B3" w:rsidRPr="00FB48B3">
              <w:rPr>
                <w:rFonts w:asciiTheme="minorHAnsi" w:hAnsiTheme="minorHAnsi" w:cstheme="minorHAnsi"/>
                <w:sz w:val="21"/>
                <w:szCs w:val="21"/>
              </w:rPr>
              <w:t>Pickwood</w:t>
            </w:r>
            <w:proofErr w:type="spellEnd"/>
            <w:r w:rsidR="001074E5">
              <w:rPr>
                <w:rFonts w:asciiTheme="minorHAnsi" w:hAnsiTheme="minorHAnsi" w:cstheme="minorHAnsi"/>
                <w:sz w:val="21"/>
                <w:szCs w:val="21"/>
              </w:rPr>
              <w:t>).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4D2F58">
            <w:pPr>
              <w:tabs>
                <w:tab w:val="left" w:pos="41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4A0D9A" w:rsidRPr="00181F80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1F80" w:rsidRDefault="00893CB8" w:rsidP="007726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226A8F">
              <w:rPr>
                <w:rFonts w:asciiTheme="minorHAnsi" w:hAnsiTheme="minorHAnsi" w:cstheme="minorHAnsi"/>
                <w:sz w:val="21"/>
                <w:szCs w:val="21"/>
              </w:rPr>
              <w:t>. 1</w:t>
            </w:r>
            <w:r w:rsidR="007726E7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>. 201</w:t>
            </w:r>
            <w:r w:rsidR="00566DA3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</w:tbl>
    <w:p w:rsidR="00C531FF" w:rsidRPr="00181F80" w:rsidRDefault="00C531FF">
      <w:pPr>
        <w:rPr>
          <w:sz w:val="21"/>
          <w:szCs w:val="21"/>
          <w:lang w:val="en-GB"/>
        </w:rPr>
      </w:pPr>
    </w:p>
    <w:sectPr w:rsidR="00C531FF" w:rsidRPr="00181F8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ABC" w:rsidRDefault="00245ABC">
      <w:r>
        <w:separator/>
      </w:r>
    </w:p>
  </w:endnote>
  <w:endnote w:type="continuationSeparator" w:id="0">
    <w:p w:rsidR="00245ABC" w:rsidRDefault="0024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5251E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ABC" w:rsidRDefault="00245ABC">
      <w:r>
        <w:separator/>
      </w:r>
    </w:p>
  </w:footnote>
  <w:footnote w:type="continuationSeparator" w:id="0">
    <w:p w:rsidR="00245ABC" w:rsidRDefault="00245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161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1FAF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30A6C"/>
    <w:multiLevelType w:val="hybridMultilevel"/>
    <w:tmpl w:val="29E6E014"/>
    <w:lvl w:ilvl="0" w:tplc="72C8D860">
      <w:numFmt w:val="bullet"/>
      <w:lvlText w:val=""/>
      <w:lvlJc w:val="left"/>
      <w:pPr>
        <w:ind w:left="1080" w:hanging="360"/>
      </w:pPr>
      <w:rPr>
        <w:rFonts w:ascii="Calibri" w:eastAsiaTheme="minorHAnsi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816B2E"/>
    <w:multiLevelType w:val="hybridMultilevel"/>
    <w:tmpl w:val="29063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3BE4"/>
    <w:multiLevelType w:val="hybridMultilevel"/>
    <w:tmpl w:val="D4F20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53F05"/>
    <w:multiLevelType w:val="hybridMultilevel"/>
    <w:tmpl w:val="5DDC5EDA"/>
    <w:lvl w:ilvl="0" w:tplc="72C8D860">
      <w:numFmt w:val="bullet"/>
      <w:lvlText w:val="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85"/>
    <w:rsid w:val="000234F2"/>
    <w:rsid w:val="000242DC"/>
    <w:rsid w:val="00031E53"/>
    <w:rsid w:val="0006007D"/>
    <w:rsid w:val="00081212"/>
    <w:rsid w:val="001074E5"/>
    <w:rsid w:val="00111791"/>
    <w:rsid w:val="00126017"/>
    <w:rsid w:val="00131B88"/>
    <w:rsid w:val="001412F2"/>
    <w:rsid w:val="001472E1"/>
    <w:rsid w:val="00153BB3"/>
    <w:rsid w:val="00167FCD"/>
    <w:rsid w:val="00171E27"/>
    <w:rsid w:val="00173F5E"/>
    <w:rsid w:val="00181F80"/>
    <w:rsid w:val="001925D6"/>
    <w:rsid w:val="001B1E3A"/>
    <w:rsid w:val="001C0DBE"/>
    <w:rsid w:val="001C6564"/>
    <w:rsid w:val="001F0D53"/>
    <w:rsid w:val="00226A8F"/>
    <w:rsid w:val="00245ABC"/>
    <w:rsid w:val="00277E25"/>
    <w:rsid w:val="00281DF0"/>
    <w:rsid w:val="00285B8B"/>
    <w:rsid w:val="00295C92"/>
    <w:rsid w:val="00311872"/>
    <w:rsid w:val="00344323"/>
    <w:rsid w:val="00377A48"/>
    <w:rsid w:val="003A11DA"/>
    <w:rsid w:val="003F7AC5"/>
    <w:rsid w:val="004073E5"/>
    <w:rsid w:val="004354A3"/>
    <w:rsid w:val="00466446"/>
    <w:rsid w:val="004762B0"/>
    <w:rsid w:val="0048127C"/>
    <w:rsid w:val="0049618A"/>
    <w:rsid w:val="004A0D9A"/>
    <w:rsid w:val="004A75BB"/>
    <w:rsid w:val="004D180B"/>
    <w:rsid w:val="004D2F58"/>
    <w:rsid w:val="0052438D"/>
    <w:rsid w:val="0054197E"/>
    <w:rsid w:val="00566DA3"/>
    <w:rsid w:val="00570934"/>
    <w:rsid w:val="00591540"/>
    <w:rsid w:val="00595F10"/>
    <w:rsid w:val="005A21CE"/>
    <w:rsid w:val="005C5C7F"/>
    <w:rsid w:val="005E1E28"/>
    <w:rsid w:val="006019DC"/>
    <w:rsid w:val="0062637D"/>
    <w:rsid w:val="0063054A"/>
    <w:rsid w:val="00630B66"/>
    <w:rsid w:val="006319B3"/>
    <w:rsid w:val="00642CDF"/>
    <w:rsid w:val="00694270"/>
    <w:rsid w:val="006B0475"/>
    <w:rsid w:val="0074653D"/>
    <w:rsid w:val="007726E7"/>
    <w:rsid w:val="00795BD8"/>
    <w:rsid w:val="00813BDE"/>
    <w:rsid w:val="0084679C"/>
    <w:rsid w:val="00850342"/>
    <w:rsid w:val="00881998"/>
    <w:rsid w:val="00882BFC"/>
    <w:rsid w:val="00893CB8"/>
    <w:rsid w:val="008A5B5C"/>
    <w:rsid w:val="008E50B7"/>
    <w:rsid w:val="008F703C"/>
    <w:rsid w:val="009141A1"/>
    <w:rsid w:val="009161BC"/>
    <w:rsid w:val="009536C6"/>
    <w:rsid w:val="00957000"/>
    <w:rsid w:val="00967314"/>
    <w:rsid w:val="009808B1"/>
    <w:rsid w:val="009931D1"/>
    <w:rsid w:val="009A2DF3"/>
    <w:rsid w:val="009B3CF4"/>
    <w:rsid w:val="009F2D69"/>
    <w:rsid w:val="00A44206"/>
    <w:rsid w:val="00A62E09"/>
    <w:rsid w:val="00AA7BF2"/>
    <w:rsid w:val="00AF2098"/>
    <w:rsid w:val="00B31336"/>
    <w:rsid w:val="00B331D6"/>
    <w:rsid w:val="00B3613E"/>
    <w:rsid w:val="00B67653"/>
    <w:rsid w:val="00B77AA2"/>
    <w:rsid w:val="00B8010C"/>
    <w:rsid w:val="00B81E7A"/>
    <w:rsid w:val="00BA604A"/>
    <w:rsid w:val="00BC7CE8"/>
    <w:rsid w:val="00C20231"/>
    <w:rsid w:val="00C32F0E"/>
    <w:rsid w:val="00C428A2"/>
    <w:rsid w:val="00C531FF"/>
    <w:rsid w:val="00C537E2"/>
    <w:rsid w:val="00CA5218"/>
    <w:rsid w:val="00CA5FDF"/>
    <w:rsid w:val="00CB6050"/>
    <w:rsid w:val="00CD18DB"/>
    <w:rsid w:val="00CD6EB0"/>
    <w:rsid w:val="00CF0A85"/>
    <w:rsid w:val="00D031A6"/>
    <w:rsid w:val="00D1427E"/>
    <w:rsid w:val="00D14755"/>
    <w:rsid w:val="00D314A3"/>
    <w:rsid w:val="00D44F86"/>
    <w:rsid w:val="00DE2FA7"/>
    <w:rsid w:val="00DF228F"/>
    <w:rsid w:val="00DF28E6"/>
    <w:rsid w:val="00E04A48"/>
    <w:rsid w:val="00E21964"/>
    <w:rsid w:val="00E93CB4"/>
    <w:rsid w:val="00EC21B9"/>
    <w:rsid w:val="00EF32AB"/>
    <w:rsid w:val="00F43DDB"/>
    <w:rsid w:val="00F62861"/>
    <w:rsid w:val="00FB47BC"/>
    <w:rsid w:val="00FB48B3"/>
    <w:rsid w:val="00FC28D3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75F4A1-80C0-451E-8F65-9A95891C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CD6EB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D6EB0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ei2015.huma-num.fr/en/overview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D3A0A-B3E0-49E5-B495-7BC31340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zprava_zc.dotx</Template>
  <TotalTime>85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3978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Marek Jindřich</dc:creator>
  <cp:lastModifiedBy>Marek, Jindřich</cp:lastModifiedBy>
  <cp:revision>24</cp:revision>
  <cp:lastPrinted>2013-06-28T08:33:00Z</cp:lastPrinted>
  <dcterms:created xsi:type="dcterms:W3CDTF">2015-11-02T16:05:00Z</dcterms:created>
  <dcterms:modified xsi:type="dcterms:W3CDTF">2015-11-10T13:02:00Z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