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1AF" w:rsidRDefault="007601AF" w:rsidP="004A0D9A">
      <w:pPr>
        <w:pStyle w:val="Title"/>
      </w:pPr>
    </w:p>
    <w:p w:rsidR="007601AF" w:rsidRPr="00AD5644" w:rsidRDefault="007601AF" w:rsidP="004A0D9A">
      <w:pPr>
        <w:pStyle w:val="Title"/>
        <w:rPr>
          <w:rFonts w:ascii="Calibri" w:hAnsi="Calibri" w:cs="Calibri"/>
          <w:sz w:val="22"/>
          <w:szCs w:val="22"/>
        </w:rPr>
      </w:pPr>
    </w:p>
    <w:p w:rsidR="007601AF" w:rsidRPr="00FF14C1" w:rsidRDefault="007601AF" w:rsidP="004A0D9A">
      <w:pPr>
        <w:pStyle w:val="Title"/>
        <w:rPr>
          <w:rStyle w:val="IntenseEmphasis"/>
        </w:rPr>
      </w:pPr>
      <w:r>
        <w:rPr>
          <w:rStyle w:val="IntenseEmphasis"/>
        </w:rPr>
        <w:t>Zpráva ze</w:t>
      </w:r>
      <w:r w:rsidRPr="00FF14C1">
        <w:rPr>
          <w:rStyle w:val="IntenseEmphasis"/>
        </w:rPr>
        <w:t xml:space="preserve"> </w:t>
      </w:r>
      <w:r>
        <w:rPr>
          <w:rStyle w:val="IntenseEmphasis"/>
        </w:rPr>
        <w:t xml:space="preserve">zahraniční </w:t>
      </w:r>
      <w:r w:rsidRPr="00FF14C1">
        <w:rPr>
          <w:rStyle w:val="IntenseEmphasis"/>
        </w:rPr>
        <w:t>služební cesty</w:t>
      </w:r>
    </w:p>
    <w:p w:rsidR="007601AF" w:rsidRPr="00AD5644" w:rsidRDefault="007601AF" w:rsidP="004A0D9A">
      <w:pPr>
        <w:jc w:val="center"/>
        <w:rPr>
          <w:rFonts w:ascii="Calibri" w:hAnsi="Calibri" w:cs="Calibri"/>
          <w:b/>
          <w:bCs/>
          <w:sz w:val="22"/>
          <w:szCs w:val="22"/>
        </w:rPr>
      </w:pPr>
    </w:p>
    <w:p w:rsidR="007601AF" w:rsidRPr="00AD5644" w:rsidRDefault="007601AF" w:rsidP="004A0D9A">
      <w:pPr>
        <w:jc w:val="center"/>
        <w:rPr>
          <w:rFonts w:ascii="Calibri" w:hAnsi="Calibri" w:cs="Calibri"/>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799"/>
        <w:gridCol w:w="2799"/>
      </w:tblGrid>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Jméno a příjmení účastníka cesty</w:t>
            </w:r>
          </w:p>
        </w:tc>
        <w:tc>
          <w:tcPr>
            <w:tcW w:w="5598" w:type="dxa"/>
            <w:gridSpan w:val="2"/>
          </w:tcPr>
          <w:p w:rsidR="007601AF" w:rsidRPr="00AD5644" w:rsidRDefault="007601AF" w:rsidP="00A822C4">
            <w:pPr>
              <w:pStyle w:val="Heading1"/>
              <w:rPr>
                <w:rFonts w:ascii="Calibri" w:hAnsi="Calibri" w:cs="Calibri"/>
                <w:sz w:val="22"/>
                <w:szCs w:val="22"/>
              </w:rPr>
            </w:pPr>
            <w:r w:rsidRPr="00AD5644">
              <w:rPr>
                <w:rFonts w:ascii="Calibri" w:hAnsi="Calibri" w:cs="Calibri"/>
                <w:sz w:val="22"/>
                <w:szCs w:val="22"/>
              </w:rPr>
              <w:t>Barbora Bjačková</w:t>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Pracoviště – dle organizační struktury</w:t>
            </w:r>
          </w:p>
        </w:tc>
        <w:tc>
          <w:tcPr>
            <w:tcW w:w="5598" w:type="dxa"/>
            <w:gridSpan w:val="2"/>
          </w:tcPr>
          <w:p w:rsidR="007601AF" w:rsidRPr="00AD5644" w:rsidRDefault="007601AF" w:rsidP="009F7098">
            <w:pPr>
              <w:rPr>
                <w:rFonts w:ascii="Calibri" w:hAnsi="Calibri" w:cs="Calibri"/>
                <w:sz w:val="22"/>
                <w:szCs w:val="22"/>
              </w:rPr>
            </w:pPr>
            <w:r w:rsidRPr="00AD5644">
              <w:rPr>
                <w:rFonts w:ascii="Calibri" w:hAnsi="Calibri" w:cs="Calibri"/>
                <w:sz w:val="22"/>
                <w:szCs w:val="22"/>
              </w:rPr>
              <w:t>2.4.1 OAW</w:t>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Pracoviště – zařazení</w:t>
            </w:r>
          </w:p>
        </w:tc>
        <w:tc>
          <w:tcPr>
            <w:tcW w:w="5598" w:type="dxa"/>
            <w:gridSpan w:val="2"/>
          </w:tcPr>
          <w:p w:rsidR="007601AF" w:rsidRPr="00AD5644" w:rsidRDefault="007601AF" w:rsidP="00656BAF">
            <w:pPr>
              <w:pStyle w:val="Heading1"/>
              <w:rPr>
                <w:rFonts w:ascii="Calibri" w:hAnsi="Calibri" w:cs="Calibri"/>
                <w:b w:val="0"/>
                <w:bCs w:val="0"/>
                <w:sz w:val="22"/>
                <w:szCs w:val="22"/>
              </w:rPr>
            </w:pPr>
            <w:r w:rsidRPr="00AD5644">
              <w:rPr>
                <w:rFonts w:ascii="Calibri" w:hAnsi="Calibri" w:cs="Calibri"/>
                <w:b w:val="0"/>
                <w:bCs w:val="0"/>
                <w:sz w:val="22"/>
                <w:szCs w:val="22"/>
              </w:rPr>
              <w:t>knihovnice</w:t>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Důvod cesty</w:t>
            </w:r>
          </w:p>
        </w:tc>
        <w:tc>
          <w:tcPr>
            <w:tcW w:w="5598" w:type="dxa"/>
            <w:gridSpan w:val="2"/>
          </w:tcPr>
          <w:p w:rsidR="007601AF" w:rsidRPr="00AD5644" w:rsidRDefault="007601AF" w:rsidP="00A822C4">
            <w:pPr>
              <w:rPr>
                <w:rFonts w:ascii="Calibri" w:hAnsi="Calibri" w:cs="Calibri"/>
                <w:b/>
                <w:bCs/>
                <w:sz w:val="22"/>
                <w:szCs w:val="22"/>
              </w:rPr>
            </w:pPr>
            <w:r w:rsidRPr="00AD5644">
              <w:rPr>
                <w:rFonts w:ascii="Calibri" w:hAnsi="Calibri" w:cs="Calibri"/>
                <w:sz w:val="22"/>
                <w:szCs w:val="22"/>
              </w:rPr>
              <w:t>Valné shromáždění a konference konsorcia IIPC</w:t>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Místo – město</w:t>
            </w:r>
          </w:p>
        </w:tc>
        <w:tc>
          <w:tcPr>
            <w:tcW w:w="5598" w:type="dxa"/>
            <w:gridSpan w:val="2"/>
          </w:tcPr>
          <w:p w:rsidR="007601AF" w:rsidRPr="00AD5644" w:rsidRDefault="007601AF" w:rsidP="00A822C4">
            <w:pPr>
              <w:rPr>
                <w:rFonts w:ascii="Calibri" w:hAnsi="Calibri" w:cs="Calibri"/>
                <w:b/>
                <w:bCs/>
                <w:sz w:val="22"/>
                <w:szCs w:val="22"/>
              </w:rPr>
            </w:pPr>
            <w:r w:rsidRPr="00AD5644">
              <w:rPr>
                <w:rFonts w:ascii="Calibri" w:hAnsi="Calibri" w:cs="Calibri"/>
                <w:sz w:val="22"/>
                <w:szCs w:val="22"/>
              </w:rPr>
              <w:t>Paříž</w:t>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Místo – země</w:t>
            </w:r>
          </w:p>
        </w:tc>
        <w:tc>
          <w:tcPr>
            <w:tcW w:w="5598" w:type="dxa"/>
            <w:gridSpan w:val="2"/>
          </w:tcPr>
          <w:p w:rsidR="007601AF" w:rsidRPr="00AD5644" w:rsidRDefault="007601AF" w:rsidP="00A822C4">
            <w:pPr>
              <w:rPr>
                <w:rFonts w:ascii="Calibri" w:hAnsi="Calibri" w:cs="Calibri"/>
                <w:b/>
                <w:bCs/>
                <w:sz w:val="22"/>
                <w:szCs w:val="22"/>
              </w:rPr>
            </w:pPr>
            <w:r w:rsidRPr="00AD5644">
              <w:rPr>
                <w:rFonts w:ascii="Calibri" w:hAnsi="Calibri" w:cs="Calibri"/>
                <w:b/>
                <w:bCs/>
                <w:sz w:val="22"/>
                <w:szCs w:val="22"/>
              </w:rPr>
              <w:t>Francie</w:t>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Datum (od-do)</w:t>
            </w:r>
          </w:p>
        </w:tc>
        <w:tc>
          <w:tcPr>
            <w:tcW w:w="5598" w:type="dxa"/>
            <w:gridSpan w:val="2"/>
          </w:tcPr>
          <w:p w:rsidR="007601AF" w:rsidRPr="00AD5644" w:rsidRDefault="007601AF" w:rsidP="00A822C4">
            <w:pPr>
              <w:rPr>
                <w:rFonts w:ascii="Calibri" w:hAnsi="Calibri" w:cs="Calibri"/>
                <w:b/>
                <w:bCs/>
                <w:sz w:val="22"/>
                <w:szCs w:val="22"/>
              </w:rPr>
            </w:pPr>
            <w:r w:rsidRPr="00AD5644">
              <w:rPr>
                <w:rFonts w:ascii="Calibri" w:hAnsi="Calibri" w:cs="Calibri"/>
                <w:b/>
                <w:bCs/>
                <w:sz w:val="22"/>
                <w:szCs w:val="22"/>
              </w:rPr>
              <w:t>18. 5. 2014 – 24. 5. 2014</w:t>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Podrobný časový harmonogram</w:t>
            </w:r>
          </w:p>
        </w:tc>
        <w:tc>
          <w:tcPr>
            <w:tcW w:w="5598" w:type="dxa"/>
            <w:gridSpan w:val="2"/>
          </w:tcPr>
          <w:p w:rsidR="007601AF" w:rsidRPr="00AD5644" w:rsidRDefault="007601AF" w:rsidP="00FD1AC0">
            <w:pPr>
              <w:rPr>
                <w:rFonts w:ascii="Calibri" w:hAnsi="Calibri" w:cs="Calibri"/>
                <w:sz w:val="22"/>
                <w:szCs w:val="22"/>
              </w:rPr>
            </w:pPr>
            <w:r w:rsidRPr="00AD5644">
              <w:rPr>
                <w:rFonts w:ascii="Calibri" w:hAnsi="Calibri" w:cs="Calibri"/>
                <w:sz w:val="22"/>
                <w:szCs w:val="22"/>
              </w:rPr>
              <w:t>18.5.2014 – odlet z Prahy</w:t>
            </w:r>
          </w:p>
          <w:p w:rsidR="007601AF" w:rsidRPr="00AD5644" w:rsidRDefault="007601AF" w:rsidP="00FD1AC0">
            <w:pPr>
              <w:rPr>
                <w:rFonts w:ascii="Calibri" w:hAnsi="Calibri" w:cs="Calibri"/>
                <w:sz w:val="22"/>
                <w:szCs w:val="22"/>
              </w:rPr>
            </w:pPr>
            <w:r w:rsidRPr="00AD5644">
              <w:rPr>
                <w:rFonts w:ascii="Calibri" w:hAnsi="Calibri" w:cs="Calibri"/>
                <w:sz w:val="22"/>
                <w:szCs w:val="22"/>
              </w:rPr>
              <w:t>19.5.2014 – konference</w:t>
            </w:r>
          </w:p>
          <w:p w:rsidR="007601AF" w:rsidRPr="00AD5644" w:rsidRDefault="007601AF" w:rsidP="00FD1AC0">
            <w:pPr>
              <w:rPr>
                <w:rFonts w:ascii="Calibri" w:hAnsi="Calibri" w:cs="Calibri"/>
                <w:sz w:val="22"/>
                <w:szCs w:val="22"/>
              </w:rPr>
            </w:pPr>
            <w:r w:rsidRPr="00AD5644">
              <w:rPr>
                <w:rFonts w:ascii="Calibri" w:hAnsi="Calibri" w:cs="Calibri"/>
                <w:sz w:val="22"/>
                <w:szCs w:val="22"/>
              </w:rPr>
              <w:t>20.5. – 21.5.2014 – členská schůze, pracovní skupiny</w:t>
            </w:r>
          </w:p>
          <w:p w:rsidR="007601AF" w:rsidRPr="00AD5644" w:rsidRDefault="007601AF" w:rsidP="00FD1AC0">
            <w:pPr>
              <w:rPr>
                <w:rFonts w:ascii="Calibri" w:hAnsi="Calibri" w:cs="Calibri"/>
                <w:sz w:val="22"/>
                <w:szCs w:val="22"/>
              </w:rPr>
            </w:pPr>
            <w:r w:rsidRPr="00AD5644">
              <w:rPr>
                <w:rFonts w:ascii="Calibri" w:hAnsi="Calibri" w:cs="Calibri"/>
                <w:sz w:val="22"/>
                <w:szCs w:val="22"/>
              </w:rPr>
              <w:t>22.5. – 23.5.2014 workshopy</w:t>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Spolucestující z NK</w:t>
            </w:r>
          </w:p>
        </w:tc>
        <w:tc>
          <w:tcPr>
            <w:tcW w:w="5598" w:type="dxa"/>
            <w:gridSpan w:val="2"/>
          </w:tcPr>
          <w:p w:rsidR="007601AF" w:rsidRPr="00AD5644" w:rsidRDefault="007601AF" w:rsidP="00C6152E">
            <w:pPr>
              <w:rPr>
                <w:rFonts w:ascii="Calibri" w:hAnsi="Calibri" w:cs="Calibri"/>
                <w:sz w:val="22"/>
                <w:szCs w:val="22"/>
              </w:rPr>
            </w:pPr>
            <w:r w:rsidRPr="00AD5644">
              <w:rPr>
                <w:rFonts w:ascii="Calibri" w:hAnsi="Calibri" w:cs="Calibri"/>
                <w:sz w:val="22"/>
                <w:szCs w:val="22"/>
              </w:rPr>
              <w:t>Rudolf Kreibich</w:t>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Finanční zajištění</w:t>
            </w:r>
          </w:p>
        </w:tc>
        <w:tc>
          <w:tcPr>
            <w:tcW w:w="5598" w:type="dxa"/>
            <w:gridSpan w:val="2"/>
          </w:tcPr>
          <w:p w:rsidR="007601AF" w:rsidRPr="00AD5644" w:rsidRDefault="007601AF" w:rsidP="00A822C4">
            <w:pPr>
              <w:rPr>
                <w:rFonts w:ascii="Calibri" w:hAnsi="Calibri" w:cs="Calibri"/>
                <w:sz w:val="22"/>
                <w:szCs w:val="22"/>
              </w:rPr>
            </w:pPr>
            <w:r w:rsidRPr="00AD5644">
              <w:rPr>
                <w:rFonts w:ascii="Calibri" w:hAnsi="Calibri" w:cs="Calibri"/>
                <w:sz w:val="22"/>
                <w:szCs w:val="22"/>
              </w:rPr>
              <w:t>VaV 0137</w:t>
            </w:r>
          </w:p>
        </w:tc>
      </w:tr>
      <w:tr w:rsidR="007601AF" w:rsidRPr="004A0D9A">
        <w:trPr>
          <w:trHeight w:val="318"/>
        </w:trPr>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Cíle cesty</w:t>
            </w:r>
          </w:p>
        </w:tc>
        <w:tc>
          <w:tcPr>
            <w:tcW w:w="5598" w:type="dxa"/>
            <w:gridSpan w:val="2"/>
          </w:tcPr>
          <w:p w:rsidR="007601AF" w:rsidRPr="00AD5644" w:rsidRDefault="007601AF" w:rsidP="00C6152E">
            <w:pPr>
              <w:spacing w:before="100" w:after="100"/>
              <w:jc w:val="both"/>
              <w:rPr>
                <w:rFonts w:ascii="Calibri" w:hAnsi="Calibri" w:cs="Calibri"/>
                <w:sz w:val="22"/>
                <w:szCs w:val="22"/>
              </w:rPr>
            </w:pPr>
            <w:r w:rsidRPr="00AD5644">
              <w:rPr>
                <w:rFonts w:ascii="Calibri" w:hAnsi="Calibri" w:cs="Calibri"/>
                <w:sz w:val="22"/>
                <w:szCs w:val="22"/>
              </w:rPr>
              <w:t>Cílem cesty byla účast na valném shromáždění a konferenci IIPC, reprezentace českého webového archivu v rámci konsorcia IIPC a seznámení se s jeho aktuální činností a stavem, získání informací o trendech a vývoji v oblasti archivace webu.</w:t>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Plnění cílů cesty (konkrétně)</w:t>
            </w:r>
          </w:p>
        </w:tc>
        <w:tc>
          <w:tcPr>
            <w:tcW w:w="5598" w:type="dxa"/>
            <w:gridSpan w:val="2"/>
          </w:tcPr>
          <w:p w:rsidR="007601AF" w:rsidRPr="00AD5644" w:rsidRDefault="007601AF" w:rsidP="00A822C4">
            <w:pPr>
              <w:rPr>
                <w:rFonts w:ascii="Calibri" w:hAnsi="Calibri" w:cs="Calibri"/>
                <w:sz w:val="22"/>
                <w:szCs w:val="22"/>
              </w:rPr>
            </w:pPr>
            <w:r w:rsidRPr="00AD5644">
              <w:rPr>
                <w:rFonts w:ascii="Calibri" w:hAnsi="Calibri" w:cs="Calibri"/>
                <w:sz w:val="22"/>
                <w:szCs w:val="22"/>
              </w:rPr>
              <w:t>Cíle byly splněny. Byly navázány kontakty s dalšími členy konsorcia IIPC a získány poznatky, které budou moci být využity pro činnost a rozvoj WebArchivu. B. Bjačková navštívila workshopy pro kurátory a R. Kreibich navštívil workshopy zaměřené na crawling a harvesting.</w:t>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Program a další podrobnější informace</w:t>
            </w:r>
          </w:p>
        </w:tc>
        <w:tc>
          <w:tcPr>
            <w:tcW w:w="5598" w:type="dxa"/>
            <w:gridSpan w:val="2"/>
          </w:tcPr>
          <w:p w:rsidR="007601AF" w:rsidRPr="00AD5644" w:rsidRDefault="007601AF" w:rsidP="00FD1AC0">
            <w:pPr>
              <w:tabs>
                <w:tab w:val="left" w:pos="4192"/>
              </w:tabs>
              <w:rPr>
                <w:rFonts w:ascii="Calibri" w:hAnsi="Calibri" w:cs="Calibri"/>
                <w:sz w:val="22"/>
                <w:szCs w:val="22"/>
              </w:rPr>
            </w:pPr>
            <w:r w:rsidRPr="00AD5644">
              <w:rPr>
                <w:rFonts w:ascii="Calibri" w:hAnsi="Calibri" w:cs="Calibri"/>
                <w:sz w:val="22"/>
                <w:szCs w:val="22"/>
              </w:rPr>
              <w:t>Viz. níže</w:t>
            </w:r>
            <w:r w:rsidRPr="00AD5644">
              <w:rPr>
                <w:rFonts w:ascii="Calibri" w:hAnsi="Calibri" w:cs="Calibri"/>
                <w:sz w:val="22"/>
                <w:szCs w:val="22"/>
              </w:rPr>
              <w:tab/>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Přivezené materiály</w:t>
            </w:r>
          </w:p>
        </w:tc>
        <w:tc>
          <w:tcPr>
            <w:tcW w:w="5598" w:type="dxa"/>
            <w:gridSpan w:val="2"/>
          </w:tcPr>
          <w:p w:rsidR="007601AF" w:rsidRPr="00AD5644" w:rsidRDefault="007601AF" w:rsidP="009F7098">
            <w:pPr>
              <w:rPr>
                <w:rFonts w:ascii="Calibri" w:hAnsi="Calibri" w:cs="Calibri"/>
                <w:sz w:val="22"/>
                <w:szCs w:val="22"/>
              </w:rPr>
            </w:pP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Datum předložení zprávy</w:t>
            </w:r>
          </w:p>
        </w:tc>
        <w:tc>
          <w:tcPr>
            <w:tcW w:w="5598" w:type="dxa"/>
            <w:gridSpan w:val="2"/>
          </w:tcPr>
          <w:p w:rsidR="007601AF" w:rsidRPr="00AD5644" w:rsidRDefault="007601AF" w:rsidP="00A822C4">
            <w:pPr>
              <w:rPr>
                <w:rFonts w:ascii="Calibri" w:hAnsi="Calibri" w:cs="Calibri"/>
                <w:sz w:val="22"/>
                <w:szCs w:val="22"/>
              </w:rPr>
            </w:pPr>
            <w:r w:rsidRPr="00AD5644">
              <w:rPr>
                <w:rFonts w:ascii="Calibri" w:hAnsi="Calibri" w:cs="Calibri"/>
                <w:sz w:val="22"/>
                <w:szCs w:val="22"/>
              </w:rPr>
              <w:t>9. 6. 2014</w:t>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Podpis předkladatele zprávy</w:t>
            </w:r>
          </w:p>
        </w:tc>
        <w:tc>
          <w:tcPr>
            <w:tcW w:w="5598" w:type="dxa"/>
            <w:gridSpan w:val="2"/>
          </w:tcPr>
          <w:p w:rsidR="007601AF" w:rsidRPr="00AD5644" w:rsidRDefault="007601AF" w:rsidP="00A822C4">
            <w:pPr>
              <w:rPr>
                <w:rFonts w:ascii="Calibri" w:hAnsi="Calibri" w:cs="Calibri"/>
                <w:sz w:val="22"/>
                <w:szCs w:val="22"/>
              </w:rPr>
            </w:pP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Podpis nadřízeného</w:t>
            </w:r>
          </w:p>
        </w:tc>
        <w:tc>
          <w:tcPr>
            <w:tcW w:w="2799"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Datum:</w:t>
            </w:r>
          </w:p>
        </w:tc>
        <w:tc>
          <w:tcPr>
            <w:tcW w:w="2799"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Podpis:</w:t>
            </w:r>
          </w:p>
        </w:tc>
      </w:tr>
      <w:tr w:rsidR="007601AF" w:rsidRPr="004A0D9A">
        <w:tc>
          <w:tcPr>
            <w:tcW w:w="3614"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Vloženo na Intranet</w:t>
            </w:r>
          </w:p>
        </w:tc>
        <w:tc>
          <w:tcPr>
            <w:tcW w:w="2799"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Datum:</w:t>
            </w:r>
          </w:p>
        </w:tc>
        <w:tc>
          <w:tcPr>
            <w:tcW w:w="2799"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Podpis:</w:t>
            </w:r>
          </w:p>
        </w:tc>
      </w:tr>
      <w:tr w:rsidR="007601AF" w:rsidRPr="004A0D9A">
        <w:tc>
          <w:tcPr>
            <w:tcW w:w="3614" w:type="dxa"/>
          </w:tcPr>
          <w:p w:rsidR="007601AF" w:rsidRPr="00AD5644" w:rsidRDefault="007601AF" w:rsidP="001C1607">
            <w:pPr>
              <w:rPr>
                <w:rFonts w:ascii="Calibri" w:hAnsi="Calibri" w:cs="Calibri"/>
                <w:sz w:val="22"/>
                <w:szCs w:val="22"/>
              </w:rPr>
            </w:pPr>
            <w:r w:rsidRPr="00AD5644">
              <w:rPr>
                <w:rFonts w:ascii="Calibri" w:hAnsi="Calibri" w:cs="Calibri"/>
                <w:sz w:val="22"/>
                <w:szCs w:val="22"/>
              </w:rPr>
              <w:t>Přijato v mezinárodním oddělení</w:t>
            </w:r>
          </w:p>
        </w:tc>
        <w:tc>
          <w:tcPr>
            <w:tcW w:w="2799"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Datum:</w:t>
            </w:r>
          </w:p>
        </w:tc>
        <w:tc>
          <w:tcPr>
            <w:tcW w:w="2799" w:type="dxa"/>
          </w:tcPr>
          <w:p w:rsidR="007601AF" w:rsidRPr="00AD5644" w:rsidRDefault="007601AF" w:rsidP="00A822C4">
            <w:pPr>
              <w:rPr>
                <w:rFonts w:ascii="Calibri" w:hAnsi="Calibri" w:cs="Calibri"/>
                <w:sz w:val="22"/>
                <w:szCs w:val="22"/>
              </w:rPr>
            </w:pPr>
            <w:r w:rsidRPr="00AD5644">
              <w:rPr>
                <w:rFonts w:ascii="Calibri" w:hAnsi="Calibri" w:cs="Calibri"/>
                <w:sz w:val="22"/>
                <w:szCs w:val="22"/>
              </w:rPr>
              <w:t>Podpis:</w:t>
            </w:r>
          </w:p>
        </w:tc>
      </w:tr>
    </w:tbl>
    <w:p w:rsidR="007601AF" w:rsidRPr="00AD5644" w:rsidRDefault="007601AF" w:rsidP="00153BB3">
      <w:pPr>
        <w:outlineLvl w:val="0"/>
        <w:rPr>
          <w:rFonts w:ascii="Calibri" w:hAnsi="Calibri" w:cs="Calibri"/>
          <w:sz w:val="22"/>
          <w:szCs w:val="22"/>
        </w:rPr>
      </w:pPr>
    </w:p>
    <w:p w:rsidR="007601AF" w:rsidRDefault="007601AF" w:rsidP="00FD1AC0">
      <w:pPr>
        <w:spacing w:before="120"/>
        <w:rPr>
          <w:rFonts w:ascii="Calibri" w:hAnsi="Calibri" w:cs="Calibri"/>
          <w:b/>
          <w:bCs/>
          <w:color w:val="000000"/>
          <w:u w:val="single"/>
        </w:rPr>
      </w:pPr>
      <w:r w:rsidRPr="00FD1AC0">
        <w:rPr>
          <w:rFonts w:ascii="Calibri" w:hAnsi="Calibri" w:cs="Calibri"/>
          <w:b/>
          <w:bCs/>
          <w:color w:val="000000"/>
          <w:u w:val="single"/>
        </w:rPr>
        <w:t>Podrobnější informace:</w:t>
      </w:r>
    </w:p>
    <w:p w:rsidR="007601AF" w:rsidRPr="00AD5644" w:rsidRDefault="007601AF" w:rsidP="00FD1AC0">
      <w:pPr>
        <w:spacing w:before="120"/>
        <w:rPr>
          <w:rFonts w:ascii="Calibri" w:hAnsi="Calibri" w:cs="Calibri"/>
          <w:sz w:val="22"/>
          <w:szCs w:val="22"/>
        </w:rPr>
      </w:pPr>
      <w:r w:rsidRPr="00AD5644">
        <w:rPr>
          <w:rFonts w:ascii="Calibri" w:hAnsi="Calibri" w:cs="Calibri"/>
          <w:sz w:val="22"/>
          <w:szCs w:val="22"/>
        </w:rPr>
        <w:t xml:space="preserve">Program valného shromáždění a konference na adrese konsorcia IIPC: </w:t>
      </w:r>
      <w:hyperlink r:id="rId7" w:history="1">
        <w:r w:rsidRPr="00AD5644">
          <w:rPr>
            <w:rStyle w:val="Hyperlink"/>
            <w:rFonts w:ascii="Calibri" w:hAnsi="Calibri" w:cs="Calibri"/>
            <w:sz w:val="22"/>
            <w:szCs w:val="22"/>
          </w:rPr>
          <w:t>http://netpreserve.org/general-assembly/2014/overview</w:t>
        </w:r>
      </w:hyperlink>
      <w:r w:rsidRPr="00AD5644">
        <w:rPr>
          <w:rFonts w:ascii="Calibri" w:hAnsi="Calibri" w:cs="Calibri"/>
          <w:sz w:val="22"/>
          <w:szCs w:val="22"/>
        </w:rPr>
        <w:t xml:space="preserve">. </w:t>
      </w:r>
    </w:p>
    <w:p w:rsidR="007601AF" w:rsidRPr="00AD5644" w:rsidRDefault="007601AF" w:rsidP="00FD1AC0">
      <w:pPr>
        <w:spacing w:before="120"/>
        <w:rPr>
          <w:rFonts w:ascii="Calibri" w:hAnsi="Calibri" w:cs="Calibri"/>
          <w:sz w:val="22"/>
          <w:szCs w:val="22"/>
        </w:rPr>
      </w:pPr>
    </w:p>
    <w:p w:rsidR="007601AF" w:rsidRPr="00FD1AC0" w:rsidRDefault="007601AF" w:rsidP="00FD1AC0">
      <w:pPr>
        <w:spacing w:before="120"/>
      </w:pPr>
      <w:r w:rsidRPr="00FD1AC0">
        <w:rPr>
          <w:rFonts w:ascii="Calibri" w:hAnsi="Calibri" w:cs="Calibri"/>
          <w:b/>
          <w:bCs/>
          <w:color w:val="000000"/>
          <w:sz w:val="23"/>
          <w:szCs w:val="23"/>
        </w:rPr>
        <w:t>19.</w:t>
      </w:r>
      <w:r>
        <w:rPr>
          <w:rFonts w:ascii="Calibri" w:hAnsi="Calibri" w:cs="Calibri"/>
          <w:b/>
          <w:bCs/>
          <w:color w:val="000000"/>
          <w:sz w:val="23"/>
          <w:szCs w:val="23"/>
        </w:rPr>
        <w:t xml:space="preserve"> </w:t>
      </w:r>
      <w:r w:rsidRPr="00FD1AC0">
        <w:rPr>
          <w:rFonts w:ascii="Calibri" w:hAnsi="Calibri" w:cs="Calibri"/>
          <w:b/>
          <w:bCs/>
          <w:color w:val="000000"/>
          <w:sz w:val="23"/>
          <w:szCs w:val="23"/>
        </w:rPr>
        <w:t>5.</w:t>
      </w:r>
      <w:r>
        <w:rPr>
          <w:rFonts w:ascii="Calibri" w:hAnsi="Calibri" w:cs="Calibri"/>
          <w:b/>
          <w:bCs/>
          <w:color w:val="000000"/>
          <w:sz w:val="23"/>
          <w:szCs w:val="23"/>
        </w:rPr>
        <w:t xml:space="preserve"> </w:t>
      </w:r>
      <w:r w:rsidRPr="00FD1AC0">
        <w:rPr>
          <w:rFonts w:ascii="Calibri" w:hAnsi="Calibri" w:cs="Calibri"/>
          <w:b/>
          <w:bCs/>
          <w:color w:val="000000"/>
          <w:sz w:val="23"/>
          <w:szCs w:val="23"/>
        </w:rPr>
        <w:t>2014 – Otevřený den:</w:t>
      </w:r>
    </w:p>
    <w:p w:rsidR="007601AF" w:rsidRPr="00FD1AC0" w:rsidRDefault="007601AF" w:rsidP="00FD1AC0">
      <w:pPr>
        <w:numPr>
          <w:ilvl w:val="0"/>
          <w:numId w:val="3"/>
        </w:numPr>
        <w:spacing w:before="120"/>
        <w:textAlignment w:val="baseline"/>
        <w:rPr>
          <w:rFonts w:ascii="Calibri" w:hAnsi="Calibri" w:cs="Calibri"/>
          <w:color w:val="000000"/>
          <w:sz w:val="23"/>
          <w:szCs w:val="23"/>
        </w:rPr>
      </w:pPr>
      <w:r w:rsidRPr="00FD1AC0">
        <w:rPr>
          <w:rFonts w:ascii="Calibri" w:hAnsi="Calibri" w:cs="Calibri"/>
          <w:color w:val="000000"/>
          <w:sz w:val="23"/>
          <w:szCs w:val="23"/>
        </w:rPr>
        <w:t>Prezentace otevřené pro veřejnost, přizváni výzkumníci a vědci</w:t>
      </w:r>
    </w:p>
    <w:p w:rsidR="007601AF" w:rsidRPr="00FD1AC0" w:rsidRDefault="007601AF" w:rsidP="00FD1AC0">
      <w:pPr>
        <w:numPr>
          <w:ilvl w:val="0"/>
          <w:numId w:val="3"/>
        </w:numPr>
        <w:spacing w:before="120"/>
        <w:textAlignment w:val="baseline"/>
        <w:rPr>
          <w:rFonts w:ascii="Calibri" w:hAnsi="Calibri" w:cs="Calibri"/>
          <w:color w:val="000000"/>
          <w:sz w:val="23"/>
          <w:szCs w:val="23"/>
        </w:rPr>
      </w:pPr>
      <w:r w:rsidRPr="00FD1AC0">
        <w:rPr>
          <w:rFonts w:ascii="Calibri" w:hAnsi="Calibri" w:cs="Calibri"/>
          <w:color w:val="000000"/>
          <w:sz w:val="23"/>
          <w:szCs w:val="23"/>
        </w:rPr>
        <w:t>Možnosti a problémy spojené s výzkumným a vědeckým využitím webových archivů</w:t>
      </w:r>
    </w:p>
    <w:p w:rsidR="007601AF" w:rsidRPr="00FD1AC0" w:rsidRDefault="007601AF" w:rsidP="00FD1AC0">
      <w:pPr>
        <w:numPr>
          <w:ilvl w:val="0"/>
          <w:numId w:val="3"/>
        </w:numPr>
        <w:spacing w:before="120"/>
        <w:textAlignment w:val="baseline"/>
        <w:rPr>
          <w:rFonts w:ascii="Calibri" w:hAnsi="Calibri" w:cs="Calibri"/>
          <w:color w:val="000000"/>
          <w:sz w:val="23"/>
          <w:szCs w:val="23"/>
        </w:rPr>
      </w:pPr>
      <w:r w:rsidRPr="00FD1AC0">
        <w:rPr>
          <w:rFonts w:ascii="Calibri" w:hAnsi="Calibri" w:cs="Calibri"/>
          <w:color w:val="000000"/>
          <w:sz w:val="23"/>
          <w:szCs w:val="23"/>
        </w:rPr>
        <w:t>Tematické sbírky ve webových archivech: možnosti využití webových archivů pro výzkum v oblastech sociálních věd a historie</w:t>
      </w:r>
    </w:p>
    <w:p w:rsidR="007601AF" w:rsidRDefault="007601AF" w:rsidP="00FD1AC0">
      <w:pPr>
        <w:spacing w:before="120"/>
      </w:pPr>
    </w:p>
    <w:p w:rsidR="007601AF" w:rsidRPr="00FD1AC0" w:rsidRDefault="007601AF" w:rsidP="00FD1AC0">
      <w:pPr>
        <w:spacing w:before="120"/>
      </w:pPr>
      <w:r w:rsidRPr="00FD1AC0">
        <w:rPr>
          <w:rFonts w:ascii="Calibri" w:hAnsi="Calibri" w:cs="Calibri"/>
          <w:b/>
          <w:bCs/>
          <w:color w:val="000000"/>
          <w:sz w:val="23"/>
          <w:szCs w:val="23"/>
        </w:rPr>
        <w:t>20.</w:t>
      </w:r>
      <w:r>
        <w:rPr>
          <w:rFonts w:ascii="Calibri" w:hAnsi="Calibri" w:cs="Calibri"/>
          <w:b/>
          <w:bCs/>
          <w:color w:val="000000"/>
          <w:sz w:val="23"/>
          <w:szCs w:val="23"/>
        </w:rPr>
        <w:t xml:space="preserve"> </w:t>
      </w:r>
      <w:r w:rsidRPr="00FD1AC0">
        <w:rPr>
          <w:rFonts w:ascii="Calibri" w:hAnsi="Calibri" w:cs="Calibri"/>
          <w:b/>
          <w:bCs/>
          <w:color w:val="000000"/>
          <w:sz w:val="23"/>
          <w:szCs w:val="23"/>
        </w:rPr>
        <w:t>5.</w:t>
      </w:r>
      <w:r>
        <w:rPr>
          <w:rFonts w:ascii="Calibri" w:hAnsi="Calibri" w:cs="Calibri"/>
          <w:b/>
          <w:bCs/>
          <w:color w:val="000000"/>
          <w:sz w:val="23"/>
          <w:szCs w:val="23"/>
        </w:rPr>
        <w:t xml:space="preserve"> </w:t>
      </w:r>
      <w:r w:rsidRPr="00FD1AC0">
        <w:rPr>
          <w:rFonts w:ascii="Calibri" w:hAnsi="Calibri" w:cs="Calibri"/>
          <w:b/>
          <w:bCs/>
          <w:color w:val="000000"/>
          <w:sz w:val="23"/>
          <w:szCs w:val="23"/>
        </w:rPr>
        <w:t>2014</w:t>
      </w:r>
    </w:p>
    <w:p w:rsidR="007601AF" w:rsidRPr="00FD1AC0" w:rsidRDefault="007601AF" w:rsidP="00FD1AC0">
      <w:pPr>
        <w:spacing w:before="120"/>
      </w:pPr>
      <w:r w:rsidRPr="00FD1AC0">
        <w:rPr>
          <w:rFonts w:ascii="Calibri" w:hAnsi="Calibri" w:cs="Calibri"/>
          <w:color w:val="000000"/>
          <w:sz w:val="23"/>
          <w:szCs w:val="23"/>
        </w:rPr>
        <w:t xml:space="preserve">Dopolední program pro členy IIPC zahrnoval představení nových členů řídícího výboru a konsorcia IIPC, zprávu pokladníka a referenta pro komunikaci a program. </w:t>
      </w:r>
    </w:p>
    <w:p w:rsidR="007601AF" w:rsidRPr="00FD1AC0" w:rsidRDefault="007601AF" w:rsidP="00FD1AC0">
      <w:pPr>
        <w:spacing w:before="120"/>
      </w:pPr>
      <w:r w:rsidRPr="00FD1AC0">
        <w:rPr>
          <w:rFonts w:ascii="Calibri" w:hAnsi="Calibri" w:cs="Calibri"/>
          <w:color w:val="000000"/>
          <w:sz w:val="23"/>
          <w:szCs w:val="23"/>
        </w:rPr>
        <w:t xml:space="preserve">Jeden z odpoledních bloků byl zaměřen na zapojení výzkumníků. Americký projekt výzkumného pracovníka Anthony Cocciola se zaměřil na archivaci sociálních médií během prezidentských voleb v USA a také na plošný výpadek stránek americké federální vlády a jejich archivaci. </w:t>
      </w:r>
    </w:p>
    <w:p w:rsidR="007601AF" w:rsidRPr="00FD1AC0" w:rsidRDefault="007601AF" w:rsidP="00FD1AC0">
      <w:pPr>
        <w:spacing w:before="120"/>
      </w:pPr>
      <w:r w:rsidRPr="00FD1AC0">
        <w:rPr>
          <w:rFonts w:ascii="Calibri" w:hAnsi="Calibri" w:cs="Calibri"/>
          <w:color w:val="000000"/>
          <w:sz w:val="23"/>
          <w:szCs w:val="23"/>
        </w:rPr>
        <w:t>Ian Miligan představil vizi webového archivu jako zdroje cenných dat pro historiky, zejména týkajících se sociálních, kulturních a politických aspektů historie. Navrhl možnost shlukování dat dle různých parametrů (clustering) a možnost například zjistit vývoj zpráv, o čem v průběhu let či v závislosti na regionu informovaly. Vyjádřil potřebu prezentace toho, co je možné zkoumat pomocí dat získaných z webových archivů.</w:t>
      </w:r>
    </w:p>
    <w:p w:rsidR="007601AF" w:rsidRPr="00FD1AC0" w:rsidRDefault="007601AF" w:rsidP="00FD1AC0">
      <w:pPr>
        <w:spacing w:before="120"/>
      </w:pPr>
      <w:r w:rsidRPr="00FD1AC0">
        <w:rPr>
          <w:rFonts w:ascii="Calibri" w:hAnsi="Calibri" w:cs="Calibri"/>
          <w:color w:val="000000"/>
          <w:sz w:val="23"/>
          <w:szCs w:val="23"/>
        </w:rPr>
        <w:t xml:space="preserve">Brenda Reyes Ayala prezentovala výsledky jejího výzkumu o vědeckých článcích v oblasti archivace webu. Výsledkem je, že publikovaných článků z této oblasti je poměrně malé množství a jsou rozprostřeny v širokém záběru oborů. Archivace webu je především mezinárodní a mezioborová disciplína, nejčastěji bývá řazena k počítačové vědě. </w:t>
      </w:r>
    </w:p>
    <w:p w:rsidR="007601AF" w:rsidRDefault="007601AF" w:rsidP="00FD1AC0">
      <w:pPr>
        <w:spacing w:before="120"/>
        <w:rPr>
          <w:rFonts w:ascii="Calibri" w:hAnsi="Calibri" w:cs="Calibri"/>
          <w:b/>
          <w:bCs/>
          <w:color w:val="000000"/>
          <w:sz w:val="23"/>
          <w:szCs w:val="23"/>
        </w:rPr>
      </w:pPr>
    </w:p>
    <w:p w:rsidR="007601AF" w:rsidRPr="00FD1AC0" w:rsidRDefault="007601AF" w:rsidP="00FD1AC0">
      <w:pPr>
        <w:spacing w:before="120"/>
      </w:pPr>
      <w:r w:rsidRPr="00FD1AC0">
        <w:rPr>
          <w:rFonts w:ascii="Calibri" w:hAnsi="Calibri" w:cs="Calibri"/>
          <w:b/>
          <w:bCs/>
          <w:color w:val="000000"/>
          <w:sz w:val="23"/>
          <w:szCs w:val="23"/>
        </w:rPr>
        <w:t>21.</w:t>
      </w:r>
      <w:r>
        <w:rPr>
          <w:rFonts w:ascii="Calibri" w:hAnsi="Calibri" w:cs="Calibri"/>
          <w:b/>
          <w:bCs/>
          <w:color w:val="000000"/>
          <w:sz w:val="23"/>
          <w:szCs w:val="23"/>
        </w:rPr>
        <w:t xml:space="preserve"> </w:t>
      </w:r>
      <w:r w:rsidRPr="00FD1AC0">
        <w:rPr>
          <w:rFonts w:ascii="Calibri" w:hAnsi="Calibri" w:cs="Calibri"/>
          <w:b/>
          <w:bCs/>
          <w:color w:val="000000"/>
          <w:sz w:val="23"/>
          <w:szCs w:val="23"/>
        </w:rPr>
        <w:t>5.</w:t>
      </w:r>
      <w:r>
        <w:rPr>
          <w:rFonts w:ascii="Calibri" w:hAnsi="Calibri" w:cs="Calibri"/>
          <w:b/>
          <w:bCs/>
          <w:color w:val="000000"/>
          <w:sz w:val="23"/>
          <w:szCs w:val="23"/>
        </w:rPr>
        <w:t xml:space="preserve"> </w:t>
      </w:r>
      <w:r w:rsidRPr="00FD1AC0">
        <w:rPr>
          <w:rFonts w:ascii="Calibri" w:hAnsi="Calibri" w:cs="Calibri"/>
          <w:b/>
          <w:bCs/>
          <w:color w:val="000000"/>
          <w:sz w:val="23"/>
          <w:szCs w:val="23"/>
        </w:rPr>
        <w:t>2014</w:t>
      </w:r>
    </w:p>
    <w:p w:rsidR="007601AF" w:rsidRPr="00FD1AC0" w:rsidRDefault="007601AF" w:rsidP="00FD1AC0">
      <w:pPr>
        <w:spacing w:before="120"/>
      </w:pPr>
      <w:r w:rsidRPr="00FD1AC0">
        <w:rPr>
          <w:rFonts w:ascii="Calibri" w:hAnsi="Calibri" w:cs="Calibri"/>
          <w:color w:val="000000"/>
          <w:sz w:val="23"/>
          <w:szCs w:val="23"/>
        </w:rPr>
        <w:t>Dopolední diskuse o budování společných kolekcí v rámci konsorcia.</w:t>
      </w:r>
    </w:p>
    <w:p w:rsidR="007601AF" w:rsidRPr="00FD1AC0" w:rsidRDefault="007601AF" w:rsidP="00FD1AC0">
      <w:pPr>
        <w:spacing w:before="120"/>
      </w:pPr>
      <w:r w:rsidRPr="00FD1AC0">
        <w:rPr>
          <w:rFonts w:ascii="Calibri" w:hAnsi="Calibri" w:cs="Calibri"/>
          <w:color w:val="000000"/>
          <w:sz w:val="23"/>
          <w:szCs w:val="23"/>
        </w:rPr>
        <w:t xml:space="preserve">Odpolední blok zaměřený na sklízení webu a přístup. Představeno vytváření kolekce v Národní knihovně Nizozemska. Nizozemská knihovna vybrala kolekci 6000 zdrojů, které pravidelně archivuje. Zdroje byly vybrány dle jejich návštěvnosti na základě odkazů na nizozemské verzi encyklopedie Wikipedia. Zaměřují se na profilování kolekce (zejména kulturní dědictví a kultura) a tematické kolekce. Přístup opt-out (vydavatelé mohou archivaci zamítnout), nesnaží se archivovat vše (nearchivují zdroje, které jsou archivovány jinde, kontroverzní zdroje atd.). Snaží se o vytvoření permanentní a přístupné kolekce. </w:t>
      </w:r>
    </w:p>
    <w:p w:rsidR="007601AF" w:rsidRPr="00FD1AC0" w:rsidRDefault="007601AF" w:rsidP="00FD1AC0">
      <w:pPr>
        <w:spacing w:before="120"/>
      </w:pPr>
      <w:r w:rsidRPr="00FD1AC0">
        <w:rPr>
          <w:rFonts w:ascii="Calibri" w:hAnsi="Calibri" w:cs="Calibri"/>
          <w:color w:val="000000"/>
          <w:sz w:val="23"/>
          <w:szCs w:val="23"/>
        </w:rPr>
        <w:t xml:space="preserve">Dále byla představena studie profilování webových archivů, kde byla zdůrazněna potřeba zmapovat záběr archivace jednotlivých webových archivů pro další využití (např. nástroj </w:t>
      </w:r>
      <w:r w:rsidRPr="00FD1AC0">
        <w:rPr>
          <w:rFonts w:ascii="Calibri" w:hAnsi="Calibri" w:cs="Calibri"/>
          <w:i/>
          <w:iCs/>
          <w:color w:val="000000"/>
          <w:sz w:val="23"/>
          <w:szCs w:val="23"/>
        </w:rPr>
        <w:t>Memento</w:t>
      </w:r>
      <w:r w:rsidRPr="00FD1AC0">
        <w:rPr>
          <w:rFonts w:ascii="Calibri" w:hAnsi="Calibri" w:cs="Calibri"/>
          <w:color w:val="000000"/>
          <w:sz w:val="23"/>
          <w:szCs w:val="23"/>
        </w:rPr>
        <w:t xml:space="preserve">). </w:t>
      </w:r>
    </w:p>
    <w:p w:rsidR="007601AF" w:rsidRPr="00FD1AC0" w:rsidRDefault="007601AF" w:rsidP="00FD1AC0">
      <w:pPr>
        <w:spacing w:before="120"/>
      </w:pPr>
      <w:r w:rsidRPr="00FD1AC0">
        <w:rPr>
          <w:rFonts w:ascii="Calibri" w:hAnsi="Calibri" w:cs="Calibri"/>
          <w:color w:val="000000"/>
          <w:sz w:val="23"/>
          <w:szCs w:val="23"/>
        </w:rPr>
        <w:t>Představen byl také islandský projekt archivace kanálů RSS a nizozemský projekt archivace veřejných médií, včetně problémů a metod spojených s archivací audiovizuálního materiálu.</w:t>
      </w:r>
    </w:p>
    <w:p w:rsidR="007601AF" w:rsidRPr="00FD1AC0" w:rsidRDefault="007601AF" w:rsidP="00FD1AC0">
      <w:pPr>
        <w:spacing w:before="120"/>
        <w:rPr>
          <w:rFonts w:ascii="Calibri" w:hAnsi="Calibri" w:cs="Calibri"/>
          <w:b/>
          <w:bCs/>
          <w:color w:val="000000"/>
          <w:sz w:val="23"/>
          <w:szCs w:val="23"/>
        </w:rPr>
      </w:pPr>
    </w:p>
    <w:p w:rsidR="007601AF" w:rsidRPr="00FD1AC0" w:rsidRDefault="007601AF" w:rsidP="00FD1AC0">
      <w:pPr>
        <w:spacing w:before="120"/>
      </w:pPr>
      <w:r w:rsidRPr="00FD1AC0">
        <w:rPr>
          <w:rFonts w:ascii="Calibri" w:hAnsi="Calibri" w:cs="Calibri"/>
          <w:b/>
          <w:bCs/>
          <w:color w:val="000000"/>
          <w:sz w:val="23"/>
          <w:szCs w:val="23"/>
        </w:rPr>
        <w:t>22. – 23.</w:t>
      </w:r>
      <w:r>
        <w:rPr>
          <w:rFonts w:ascii="Calibri" w:hAnsi="Calibri" w:cs="Calibri"/>
          <w:b/>
          <w:bCs/>
          <w:color w:val="000000"/>
          <w:sz w:val="23"/>
          <w:szCs w:val="23"/>
        </w:rPr>
        <w:t xml:space="preserve"> </w:t>
      </w:r>
      <w:r w:rsidRPr="00FD1AC0">
        <w:rPr>
          <w:rFonts w:ascii="Calibri" w:hAnsi="Calibri" w:cs="Calibri"/>
          <w:b/>
          <w:bCs/>
          <w:color w:val="000000"/>
          <w:sz w:val="23"/>
          <w:szCs w:val="23"/>
        </w:rPr>
        <w:t>5.</w:t>
      </w:r>
      <w:r>
        <w:rPr>
          <w:rFonts w:ascii="Calibri" w:hAnsi="Calibri" w:cs="Calibri"/>
          <w:b/>
          <w:bCs/>
          <w:color w:val="000000"/>
          <w:sz w:val="23"/>
          <w:szCs w:val="23"/>
        </w:rPr>
        <w:t xml:space="preserve"> </w:t>
      </w:r>
      <w:r w:rsidRPr="00FD1AC0">
        <w:rPr>
          <w:rFonts w:ascii="Calibri" w:hAnsi="Calibri" w:cs="Calibri"/>
          <w:b/>
          <w:bCs/>
          <w:color w:val="000000"/>
          <w:sz w:val="23"/>
          <w:szCs w:val="23"/>
        </w:rPr>
        <w:t>2014 – Workshopy:</w:t>
      </w:r>
    </w:p>
    <w:p w:rsidR="007601AF" w:rsidRPr="00FD1AC0" w:rsidRDefault="007601AF" w:rsidP="00FD1AC0">
      <w:pPr>
        <w:spacing w:before="120"/>
      </w:pPr>
      <w:r w:rsidRPr="00FD1AC0">
        <w:rPr>
          <w:rFonts w:ascii="Calibri" w:hAnsi="Calibri" w:cs="Calibri"/>
          <w:color w:val="000000"/>
          <w:sz w:val="23"/>
          <w:szCs w:val="23"/>
          <w:u w:val="single"/>
        </w:rPr>
        <w:t>Worskshop nástrojů pro webové kurátory:</w:t>
      </w:r>
    </w:p>
    <w:p w:rsidR="007601AF" w:rsidRPr="00FD1AC0" w:rsidRDefault="007601AF" w:rsidP="00FD1AC0">
      <w:pPr>
        <w:spacing w:before="120"/>
      </w:pPr>
      <w:r w:rsidRPr="00FD1AC0">
        <w:rPr>
          <w:rFonts w:ascii="Calibri" w:hAnsi="Calibri" w:cs="Calibri"/>
          <w:color w:val="000000"/>
          <w:sz w:val="23"/>
          <w:szCs w:val="23"/>
        </w:rPr>
        <w:t xml:space="preserve">Nástroje pro webové kurátory by měly pokrývat většinu činností zahrnutých v životním cyklu webového archivu, především výběr a ohodnocení zdrojů, uložení a jejich organizaci, kontrolu kvality a analýzu, popis a metadata, dlouhodobou ochranu, přístup a využití a také management rizik, který souvisí s politikou webového archivu (např. práva či omezení přístupu). Bylo představeno více jak 10 nástrojů, například </w:t>
      </w:r>
      <w:r w:rsidRPr="00FD1AC0">
        <w:rPr>
          <w:rFonts w:ascii="Calibri" w:hAnsi="Calibri" w:cs="Calibri"/>
          <w:i/>
          <w:iCs/>
          <w:color w:val="000000"/>
          <w:sz w:val="23"/>
          <w:szCs w:val="23"/>
        </w:rPr>
        <w:t>NetArchive Suite</w:t>
      </w:r>
      <w:r w:rsidRPr="00FD1AC0">
        <w:rPr>
          <w:rFonts w:ascii="Calibri" w:hAnsi="Calibri" w:cs="Calibri"/>
          <w:color w:val="000000"/>
          <w:sz w:val="23"/>
          <w:szCs w:val="23"/>
        </w:rPr>
        <w:t xml:space="preserve"> využívaný v Dánské královské knihovně či francouzský </w:t>
      </w:r>
      <w:r w:rsidRPr="00FD1AC0">
        <w:rPr>
          <w:rFonts w:ascii="Calibri" w:hAnsi="Calibri" w:cs="Calibri"/>
          <w:i/>
          <w:iCs/>
          <w:color w:val="000000"/>
          <w:sz w:val="23"/>
          <w:szCs w:val="23"/>
        </w:rPr>
        <w:t>BCWeb</w:t>
      </w:r>
      <w:r w:rsidRPr="00FD1AC0">
        <w:rPr>
          <w:rFonts w:ascii="Calibri" w:hAnsi="Calibri" w:cs="Calibri"/>
          <w:color w:val="000000"/>
          <w:sz w:val="23"/>
          <w:szCs w:val="23"/>
        </w:rPr>
        <w:t xml:space="preserve">. Mezi trendy ve vývoji nástrojů pro kurátory patří rozdělování zdrojů do jednotlivých kolekcí a jejich správa, nastavení parametrů sklízení pro různé typy dokumentů nebo kolekce či generování statistik. Organizace Internet Archive také v rámci představení vlastního nástroje </w:t>
      </w:r>
      <w:r w:rsidRPr="00FD1AC0">
        <w:rPr>
          <w:rFonts w:ascii="Calibri" w:hAnsi="Calibri" w:cs="Calibri"/>
          <w:i/>
          <w:iCs/>
          <w:color w:val="000000"/>
          <w:sz w:val="23"/>
          <w:szCs w:val="23"/>
        </w:rPr>
        <w:t>Archive-It</w:t>
      </w:r>
      <w:r w:rsidRPr="00FD1AC0">
        <w:rPr>
          <w:rFonts w:ascii="Calibri" w:hAnsi="Calibri" w:cs="Calibri"/>
          <w:color w:val="000000"/>
          <w:sz w:val="23"/>
          <w:szCs w:val="23"/>
        </w:rPr>
        <w:t xml:space="preserve"> představila novou technologii pro sklízení dynamického webu </w:t>
      </w:r>
      <w:r w:rsidRPr="00FD1AC0">
        <w:rPr>
          <w:rFonts w:ascii="Calibri" w:hAnsi="Calibri" w:cs="Calibri"/>
          <w:i/>
          <w:iCs/>
          <w:color w:val="000000"/>
          <w:sz w:val="23"/>
          <w:szCs w:val="23"/>
        </w:rPr>
        <w:t>Umbra</w:t>
      </w:r>
      <w:r w:rsidRPr="00FD1AC0">
        <w:rPr>
          <w:rFonts w:ascii="Calibri" w:hAnsi="Calibri" w:cs="Calibri"/>
          <w:color w:val="000000"/>
          <w:sz w:val="23"/>
          <w:szCs w:val="23"/>
        </w:rPr>
        <w:t>. Podle průzkumů v institucích zabývajících se archivací webu je zapotřebí více rozvíjet především technologie pro automatizované provádění kontroly kvality.</w:t>
      </w:r>
    </w:p>
    <w:p w:rsidR="007601AF" w:rsidRPr="00FD1AC0" w:rsidRDefault="007601AF" w:rsidP="00FD1AC0">
      <w:pPr>
        <w:spacing w:before="120"/>
      </w:pPr>
      <w:r w:rsidRPr="00FD1AC0">
        <w:rPr>
          <w:rFonts w:ascii="Calibri" w:hAnsi="Calibri" w:cs="Calibri"/>
          <w:color w:val="000000"/>
          <w:sz w:val="23"/>
          <w:szCs w:val="23"/>
          <w:u w:val="single"/>
        </w:rPr>
        <w:t>Kurátorský workshop:</w:t>
      </w:r>
    </w:p>
    <w:p w:rsidR="007601AF" w:rsidRPr="00FD1AC0" w:rsidRDefault="007601AF" w:rsidP="00FD1AC0">
      <w:pPr>
        <w:spacing w:before="120"/>
      </w:pPr>
      <w:r w:rsidRPr="00FD1AC0">
        <w:rPr>
          <w:rFonts w:ascii="Calibri" w:hAnsi="Calibri" w:cs="Calibri"/>
          <w:color w:val="000000"/>
          <w:sz w:val="23"/>
          <w:szCs w:val="23"/>
        </w:rPr>
        <w:t>Diskutována byla především potřeba vytváření strategie budování webového fondu. Byla představena na příkladech několika institucí zabývajících se archivací webu.</w:t>
      </w:r>
    </w:p>
    <w:p w:rsidR="007601AF" w:rsidRPr="00FD1AC0" w:rsidRDefault="007601AF" w:rsidP="00FD1AC0">
      <w:pPr>
        <w:spacing w:before="120"/>
      </w:pPr>
      <w:r w:rsidRPr="00FD1AC0">
        <w:rPr>
          <w:rFonts w:ascii="Calibri" w:hAnsi="Calibri" w:cs="Calibri"/>
          <w:color w:val="000000"/>
          <w:sz w:val="23"/>
          <w:szCs w:val="23"/>
        </w:rPr>
        <w:t>Tato strategie by měla být především v souladu s celkovou politikou budování fondu knihovny. Pro vytváření této politiky je tedy vhodná spolupráce nebo konzultace s pracovníky knihovny starající se o celkovou politiku budování fondu knihovny. Je nutné si uvědomit, že výběr zdrojů ovlivňuje trvalé uložení. Vyjádřena potřeba definování zdrojů nezahrnovaných do webové kolekce, zaměření na „ohrožené“ zdroje (at-risk content) s nestálým obsahem, který může brzy zaniknout. Mnohé knihovny spolupracují na výběru zdrojů s externími (další knihovny – Švýcarská nár. knihovna) i interními (odborní knihovníci – Francouzská nár. knihovna, Kongresová knihovna) pracovníky, případně tvoří vlastní priority založené např. na národních zdrojích vybraných pomocí Wikipedie (Nizozemská nár. knihovna).</w:t>
      </w:r>
    </w:p>
    <w:p w:rsidR="007601AF" w:rsidRPr="00AD5644" w:rsidRDefault="007601AF" w:rsidP="00153BB3">
      <w:pPr>
        <w:outlineLvl w:val="0"/>
        <w:rPr>
          <w:rFonts w:ascii="Calibri" w:hAnsi="Calibri" w:cs="Calibri"/>
          <w:sz w:val="22"/>
          <w:szCs w:val="22"/>
        </w:rPr>
      </w:pPr>
    </w:p>
    <w:p w:rsidR="007601AF" w:rsidRPr="00AD5644" w:rsidRDefault="007601AF" w:rsidP="00153BB3">
      <w:pPr>
        <w:outlineLvl w:val="0"/>
        <w:rPr>
          <w:rFonts w:ascii="Calibri" w:hAnsi="Calibri" w:cs="Calibri"/>
          <w:sz w:val="22"/>
          <w:szCs w:val="22"/>
        </w:rPr>
      </w:pPr>
    </w:p>
    <w:p w:rsidR="007601AF" w:rsidRPr="00AD5644" w:rsidRDefault="007601AF" w:rsidP="008C0B88">
      <w:pPr>
        <w:outlineLvl w:val="0"/>
        <w:rPr>
          <w:rFonts w:ascii="Calibri" w:hAnsi="Calibri" w:cs="Calibri"/>
          <w:sz w:val="22"/>
          <w:szCs w:val="22"/>
        </w:rPr>
      </w:pPr>
    </w:p>
    <w:p w:rsidR="007601AF" w:rsidRPr="00AD5644" w:rsidRDefault="007601AF" w:rsidP="00153BB3">
      <w:pPr>
        <w:outlineLvl w:val="0"/>
        <w:rPr>
          <w:rFonts w:ascii="Calibri" w:hAnsi="Calibri" w:cs="Calibri"/>
          <w:sz w:val="22"/>
          <w:szCs w:val="22"/>
        </w:rPr>
      </w:pPr>
    </w:p>
    <w:p w:rsidR="007601AF" w:rsidRDefault="007601AF" w:rsidP="00153BB3">
      <w:pPr>
        <w:outlineLvl w:val="0"/>
        <w:rPr>
          <w:rFonts w:ascii="Arial" w:hAnsi="Arial" w:cs="Arial"/>
          <w:sz w:val="22"/>
          <w:szCs w:val="22"/>
        </w:rPr>
      </w:pPr>
    </w:p>
    <w:p w:rsidR="007601AF" w:rsidRPr="00EF1206" w:rsidRDefault="007601AF" w:rsidP="00153BB3">
      <w:pPr>
        <w:jc w:val="center"/>
        <w:outlineLvl w:val="0"/>
        <w:rPr>
          <w:rFonts w:ascii="Arial" w:hAnsi="Arial" w:cs="Arial"/>
          <w:sz w:val="28"/>
          <w:szCs w:val="28"/>
        </w:rPr>
      </w:pPr>
    </w:p>
    <w:p w:rsidR="007601AF" w:rsidRPr="00EF1206" w:rsidRDefault="007601AF" w:rsidP="009B3CF4">
      <w:pPr>
        <w:ind w:left="708"/>
        <w:jc w:val="right"/>
        <w:rPr>
          <w:rFonts w:ascii="Arial" w:hAnsi="Arial" w:cs="Arial"/>
          <w:sz w:val="20"/>
          <w:szCs w:val="20"/>
        </w:rPr>
      </w:pPr>
    </w:p>
    <w:p w:rsidR="007601AF" w:rsidRPr="00EF1206" w:rsidRDefault="007601AF" w:rsidP="009A2DF3">
      <w:pPr>
        <w:jc w:val="right"/>
        <w:rPr>
          <w:rFonts w:ascii="Arial" w:hAnsi="Arial" w:cs="Arial"/>
          <w:b/>
          <w:bCs/>
          <w:i/>
          <w:iCs/>
          <w:sz w:val="18"/>
          <w:szCs w:val="18"/>
        </w:rPr>
      </w:pPr>
    </w:p>
    <w:p w:rsidR="007601AF" w:rsidRPr="00EF1206" w:rsidRDefault="007601AF" w:rsidP="00C531FF">
      <w:pPr>
        <w:jc w:val="both"/>
        <w:rPr>
          <w:i/>
          <w:iCs/>
          <w:sz w:val="22"/>
          <w:szCs w:val="22"/>
        </w:rPr>
      </w:pPr>
    </w:p>
    <w:p w:rsidR="007601AF" w:rsidRPr="00EF1206" w:rsidRDefault="007601AF"/>
    <w:sectPr w:rsidR="007601AF" w:rsidRPr="00EF1206" w:rsidSect="007624D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AF" w:rsidRDefault="007601AF">
      <w:r>
        <w:separator/>
      </w:r>
    </w:p>
  </w:endnote>
  <w:endnote w:type="continuationSeparator" w:id="0">
    <w:p w:rsidR="007601AF" w:rsidRDefault="0076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AF" w:rsidRDefault="007601AF" w:rsidP="00795BD8">
    <w:pPr>
      <w:pStyle w:val="Footer"/>
      <w:jc w:val="center"/>
      <w:rPr>
        <w:rFonts w:ascii="Arial" w:hAnsi="Arial" w:cs="Arial"/>
        <w:b/>
        <w:bCs/>
        <w:sz w:val="18"/>
        <w:szCs w:val="18"/>
      </w:rPr>
    </w:pPr>
    <w:r>
      <w:rPr>
        <w:noProof/>
      </w:rPr>
      <w:pict>
        <v:line id="Line 3" o:spid="_x0000_s2050" style="position:absolute;left:0;text-align:left;z-index:251657216;visibility:visible" from="0,3.15pt" to="450pt,3.15pt" strokecolor="red"/>
      </w:pict>
    </w:r>
  </w:p>
  <w:p w:rsidR="007601AF" w:rsidRPr="00AD5644" w:rsidRDefault="007601AF" w:rsidP="004A0D9A">
    <w:pPr>
      <w:pStyle w:val="EndnoteText"/>
      <w:rPr>
        <w:rFonts w:ascii="Calibri" w:hAnsi="Calibri" w:cs="Calibri"/>
      </w:rPr>
    </w:pPr>
    <w:r w:rsidRPr="00AD5644">
      <w:rPr>
        <w:rFonts w:ascii="Calibri" w:hAnsi="Calibri" w:cs="Calibri"/>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p w:rsidR="007601AF" w:rsidRPr="00AD5644" w:rsidRDefault="007601AF" w:rsidP="00281DF0">
    <w:pPr>
      <w:pStyle w:val="Footer"/>
      <w:jc w:val="center"/>
      <w:rPr>
        <w:rFonts w:ascii="Calibri" w:hAnsi="Calibri" w:cs="Calibri"/>
        <w:sz w:val="14"/>
        <w:szCs w:val="14"/>
      </w:rPr>
    </w:pPr>
    <w:r w:rsidRPr="00AD5644">
      <w:rPr>
        <w:rFonts w:ascii="Calibri" w:hAnsi="Calibri" w:cs="Calibri"/>
        <w:sz w:val="14"/>
        <w:szCs w:val="14"/>
      </w:rPr>
      <w:t xml:space="preserve"> </w:t>
    </w:r>
  </w:p>
  <w:p w:rsidR="007601AF" w:rsidRPr="00CA5218" w:rsidRDefault="007601AF" w:rsidP="00281DF0">
    <w:pPr>
      <w:pStyle w:val="Footer"/>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AF" w:rsidRDefault="007601AF">
      <w:r>
        <w:separator/>
      </w:r>
    </w:p>
  </w:footnote>
  <w:footnote w:type="continuationSeparator" w:id="0">
    <w:p w:rsidR="007601AF" w:rsidRDefault="0076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AF" w:rsidRDefault="007601AF">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57.75pt">
          <v:imagedata r:id="rId1" o:title=""/>
        </v:shape>
      </w:pict>
    </w:r>
  </w:p>
  <w:p w:rsidR="007601AF" w:rsidRDefault="007601AF">
    <w:pPr>
      <w:pStyle w:val="Header"/>
    </w:pPr>
    <w:r>
      <w:rPr>
        <w:noProof/>
      </w:rPr>
      <w:pict>
        <v:line id="Line 6" o:spid="_x0000_s2049" style="position:absolute;z-index:251658240;visibility:visible" from="0,9pt" to="450pt,9pt" strokecolor="red"/>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13BF3"/>
    <w:multiLevelType w:val="hybridMultilevel"/>
    <w:tmpl w:val="25A6DE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3937A4E"/>
    <w:multiLevelType w:val="hybridMultilevel"/>
    <w:tmpl w:val="8C480A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733C1050"/>
    <w:multiLevelType w:val="multilevel"/>
    <w:tmpl w:val="1E668F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AC0"/>
    <w:rsid w:val="000242DC"/>
    <w:rsid w:val="00031E53"/>
    <w:rsid w:val="0006007D"/>
    <w:rsid w:val="00081212"/>
    <w:rsid w:val="000A078D"/>
    <w:rsid w:val="000B5AE3"/>
    <w:rsid w:val="00131B88"/>
    <w:rsid w:val="00153BB3"/>
    <w:rsid w:val="00165F90"/>
    <w:rsid w:val="00167FCD"/>
    <w:rsid w:val="00171E27"/>
    <w:rsid w:val="001B1E3A"/>
    <w:rsid w:val="001B74B3"/>
    <w:rsid w:val="001C1607"/>
    <w:rsid w:val="001C4128"/>
    <w:rsid w:val="001C6564"/>
    <w:rsid w:val="00281DF0"/>
    <w:rsid w:val="00311872"/>
    <w:rsid w:val="00377A48"/>
    <w:rsid w:val="003A11DA"/>
    <w:rsid w:val="003A6044"/>
    <w:rsid w:val="003B0CED"/>
    <w:rsid w:val="004354A3"/>
    <w:rsid w:val="00466446"/>
    <w:rsid w:val="004A0D9A"/>
    <w:rsid w:val="004D7654"/>
    <w:rsid w:val="0053660C"/>
    <w:rsid w:val="0054197E"/>
    <w:rsid w:val="00570934"/>
    <w:rsid w:val="00595F10"/>
    <w:rsid w:val="005A21CE"/>
    <w:rsid w:val="005E1E28"/>
    <w:rsid w:val="006019DC"/>
    <w:rsid w:val="00606B8B"/>
    <w:rsid w:val="0063054A"/>
    <w:rsid w:val="006319B3"/>
    <w:rsid w:val="00656BAF"/>
    <w:rsid w:val="00694270"/>
    <w:rsid w:val="007601AF"/>
    <w:rsid w:val="007624D1"/>
    <w:rsid w:val="00795BD8"/>
    <w:rsid w:val="007D25DF"/>
    <w:rsid w:val="00817A80"/>
    <w:rsid w:val="00850342"/>
    <w:rsid w:val="00882BFC"/>
    <w:rsid w:val="008A5B5C"/>
    <w:rsid w:val="008C0B88"/>
    <w:rsid w:val="009141A1"/>
    <w:rsid w:val="009161BC"/>
    <w:rsid w:val="009536C6"/>
    <w:rsid w:val="00967314"/>
    <w:rsid w:val="00973A95"/>
    <w:rsid w:val="009A2DF3"/>
    <w:rsid w:val="009B3CF4"/>
    <w:rsid w:val="009F7098"/>
    <w:rsid w:val="00A822C4"/>
    <w:rsid w:val="00AD5644"/>
    <w:rsid w:val="00AF2098"/>
    <w:rsid w:val="00B331D6"/>
    <w:rsid w:val="00B8010C"/>
    <w:rsid w:val="00B81E7A"/>
    <w:rsid w:val="00BC7CE8"/>
    <w:rsid w:val="00C20231"/>
    <w:rsid w:val="00C428A2"/>
    <w:rsid w:val="00C531FF"/>
    <w:rsid w:val="00C537E2"/>
    <w:rsid w:val="00C6152E"/>
    <w:rsid w:val="00CA5218"/>
    <w:rsid w:val="00CA5FDF"/>
    <w:rsid w:val="00CB6050"/>
    <w:rsid w:val="00CD18DB"/>
    <w:rsid w:val="00DC2055"/>
    <w:rsid w:val="00DE1D6F"/>
    <w:rsid w:val="00DF228F"/>
    <w:rsid w:val="00DF28E6"/>
    <w:rsid w:val="00E21964"/>
    <w:rsid w:val="00E4485D"/>
    <w:rsid w:val="00E93CB4"/>
    <w:rsid w:val="00EF1206"/>
    <w:rsid w:val="00F950CF"/>
    <w:rsid w:val="00FD1AC0"/>
    <w:rsid w:val="00FD3FD6"/>
    <w:rsid w:val="00FF1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9A"/>
    <w:rPr>
      <w:sz w:val="24"/>
      <w:szCs w:val="24"/>
    </w:rPr>
  </w:style>
  <w:style w:type="paragraph" w:styleId="Heading1">
    <w:name w:val="heading 1"/>
    <w:basedOn w:val="Normal"/>
    <w:next w:val="Normal"/>
    <w:link w:val="Heading1Char"/>
    <w:uiPriority w:val="99"/>
    <w:qFormat/>
    <w:rsid w:val="004A0D9A"/>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D9A"/>
    <w:rPr>
      <w:b/>
      <w:bCs/>
      <w:sz w:val="24"/>
      <w:szCs w:val="24"/>
    </w:rPr>
  </w:style>
  <w:style w:type="paragraph" w:styleId="Header">
    <w:name w:val="header"/>
    <w:basedOn w:val="Normal"/>
    <w:link w:val="HeaderChar"/>
    <w:uiPriority w:val="99"/>
    <w:rsid w:val="001B1E3A"/>
    <w:pPr>
      <w:tabs>
        <w:tab w:val="center" w:pos="4536"/>
        <w:tab w:val="right" w:pos="9072"/>
      </w:tabs>
    </w:pPr>
  </w:style>
  <w:style w:type="character" w:customStyle="1" w:styleId="HeaderChar">
    <w:name w:val="Header Char"/>
    <w:basedOn w:val="DefaultParagraphFont"/>
    <w:link w:val="Header"/>
    <w:uiPriority w:val="99"/>
    <w:semiHidden/>
    <w:rsid w:val="00747FC4"/>
    <w:rPr>
      <w:sz w:val="24"/>
      <w:szCs w:val="24"/>
    </w:rPr>
  </w:style>
  <w:style w:type="paragraph" w:styleId="Footer">
    <w:name w:val="footer"/>
    <w:basedOn w:val="Normal"/>
    <w:link w:val="FooterChar"/>
    <w:uiPriority w:val="99"/>
    <w:rsid w:val="001B1E3A"/>
    <w:pPr>
      <w:tabs>
        <w:tab w:val="center" w:pos="4536"/>
        <w:tab w:val="right" w:pos="9072"/>
      </w:tabs>
    </w:pPr>
  </w:style>
  <w:style w:type="character" w:customStyle="1" w:styleId="FooterChar">
    <w:name w:val="Footer Char"/>
    <w:basedOn w:val="DefaultParagraphFont"/>
    <w:link w:val="Footer"/>
    <w:uiPriority w:val="99"/>
    <w:semiHidden/>
    <w:rsid w:val="00747FC4"/>
    <w:rPr>
      <w:sz w:val="24"/>
      <w:szCs w:val="24"/>
    </w:rPr>
  </w:style>
  <w:style w:type="character" w:styleId="Hyperlink">
    <w:name w:val="Hyperlink"/>
    <w:basedOn w:val="DefaultParagraphFont"/>
    <w:uiPriority w:val="99"/>
    <w:rsid w:val="00C537E2"/>
    <w:rPr>
      <w:color w:val="0000FF"/>
      <w:u w:val="single"/>
    </w:rPr>
  </w:style>
  <w:style w:type="paragraph" w:styleId="BalloonText">
    <w:name w:val="Balloon Text"/>
    <w:basedOn w:val="Normal"/>
    <w:link w:val="BalloonTextChar"/>
    <w:uiPriority w:val="99"/>
    <w:semiHidden/>
    <w:rsid w:val="001C6564"/>
    <w:rPr>
      <w:rFonts w:ascii="Tahoma" w:hAnsi="Tahoma" w:cs="Tahoma"/>
      <w:sz w:val="16"/>
      <w:szCs w:val="16"/>
    </w:rPr>
  </w:style>
  <w:style w:type="character" w:customStyle="1" w:styleId="BalloonTextChar">
    <w:name w:val="Balloon Text Char"/>
    <w:basedOn w:val="DefaultParagraphFont"/>
    <w:link w:val="BalloonText"/>
    <w:uiPriority w:val="99"/>
    <w:semiHidden/>
    <w:rsid w:val="00747FC4"/>
    <w:rPr>
      <w:sz w:val="0"/>
      <w:szCs w:val="0"/>
    </w:rPr>
  </w:style>
  <w:style w:type="paragraph" w:styleId="Title">
    <w:name w:val="Title"/>
    <w:basedOn w:val="Normal"/>
    <w:link w:val="TitleChar"/>
    <w:uiPriority w:val="99"/>
    <w:qFormat/>
    <w:rsid w:val="004A0D9A"/>
    <w:pPr>
      <w:jc w:val="center"/>
    </w:pPr>
    <w:rPr>
      <w:b/>
      <w:bCs/>
      <w:sz w:val="28"/>
      <w:szCs w:val="28"/>
    </w:rPr>
  </w:style>
  <w:style w:type="character" w:customStyle="1" w:styleId="TitleChar">
    <w:name w:val="Title Char"/>
    <w:basedOn w:val="DefaultParagraphFont"/>
    <w:link w:val="Title"/>
    <w:uiPriority w:val="99"/>
    <w:rsid w:val="004A0D9A"/>
    <w:rPr>
      <w:b/>
      <w:bCs/>
      <w:sz w:val="28"/>
      <w:szCs w:val="28"/>
    </w:rPr>
  </w:style>
  <w:style w:type="paragraph" w:styleId="EndnoteText">
    <w:name w:val="endnote text"/>
    <w:basedOn w:val="Normal"/>
    <w:link w:val="EndnoteTextChar"/>
    <w:uiPriority w:val="99"/>
    <w:semiHidden/>
    <w:rsid w:val="004A0D9A"/>
    <w:rPr>
      <w:sz w:val="20"/>
      <w:szCs w:val="20"/>
    </w:rPr>
  </w:style>
  <w:style w:type="character" w:customStyle="1" w:styleId="EndnoteTextChar">
    <w:name w:val="Endnote Text Char"/>
    <w:basedOn w:val="DefaultParagraphFont"/>
    <w:link w:val="EndnoteText"/>
    <w:uiPriority w:val="99"/>
    <w:rsid w:val="004A0D9A"/>
  </w:style>
  <w:style w:type="character" w:styleId="EndnoteReference">
    <w:name w:val="endnote reference"/>
    <w:basedOn w:val="DefaultParagraphFont"/>
    <w:uiPriority w:val="99"/>
    <w:semiHidden/>
    <w:rsid w:val="004A0D9A"/>
    <w:rPr>
      <w:vertAlign w:val="superscript"/>
    </w:rPr>
  </w:style>
  <w:style w:type="character" w:styleId="IntenseEmphasis">
    <w:name w:val="Intense Emphasis"/>
    <w:basedOn w:val="DefaultParagraphFont"/>
    <w:uiPriority w:val="99"/>
    <w:qFormat/>
    <w:rsid w:val="00FF14C1"/>
    <w:rPr>
      <w:b/>
      <w:bCs/>
      <w:i/>
      <w:iCs/>
      <w:color w:val="4F81BD"/>
    </w:rPr>
  </w:style>
  <w:style w:type="paragraph" w:styleId="ListParagraph">
    <w:name w:val="List Paragraph"/>
    <w:basedOn w:val="Normal"/>
    <w:uiPriority w:val="99"/>
    <w:qFormat/>
    <w:rsid w:val="00165F90"/>
    <w:pPr>
      <w:ind w:left="720"/>
    </w:pPr>
  </w:style>
  <w:style w:type="paragraph" w:styleId="NormalWeb">
    <w:name w:val="Normal (Web)"/>
    <w:basedOn w:val="Normal"/>
    <w:uiPriority w:val="99"/>
    <w:rsid w:val="00FD1A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tpreserve.org/general-assembly/2014/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3</Pages>
  <Words>893</Words>
  <Characters>5271</Characters>
  <Application>Microsoft Office Word</Application>
  <DocSecurity>0</DocSecurity>
  <Lines>0</Lines>
  <Paragraphs>0</Paragraphs>
  <ScaleCrop>false</ScaleCrop>
  <Company>Národní knihovna ČR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Bjačková Barbora</dc:creator>
  <cp:keywords/>
  <dc:description/>
  <cp:lastModifiedBy>Eva</cp:lastModifiedBy>
  <cp:revision>3</cp:revision>
  <cp:lastPrinted>2014-06-09T08:51:00Z</cp:lastPrinted>
  <dcterms:created xsi:type="dcterms:W3CDTF">2014-06-09T08:12:00Z</dcterms:created>
  <dcterms:modified xsi:type="dcterms:W3CDTF">2014-06-10T14:39:00Z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