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8412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841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IFLA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84124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Wroclaw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84124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841248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 xml:space="preserve">20. – </w:t>
            </w:r>
            <w:r w:rsidR="001865CE">
              <w:t>2</w:t>
            </w:r>
            <w:r>
              <w:t>4</w:t>
            </w:r>
            <w:r w:rsidR="001865CE">
              <w:t>. srpna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84124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jezd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z Prahy</w:t>
            </w:r>
          </w:p>
          <w:p w:rsidR="001865CE" w:rsidRDefault="0084124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24. 8.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 účast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konferenci IFLA 2017</w:t>
            </w:r>
          </w:p>
          <w:p w:rsidR="00BE63AD" w:rsidRPr="00142FDF" w:rsidRDefault="00841248" w:rsidP="008412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24. 8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8412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 xml:space="preserve">mezinárodní konferenci </w:t>
            </w:r>
            <w:r w:rsidR="00841248">
              <w:rPr>
                <w:rFonts w:ascii="Calibri" w:hAnsi="Calibri"/>
                <w:sz w:val="22"/>
              </w:rPr>
              <w:t>IFLA</w:t>
            </w:r>
            <w:r w:rsidR="00F21D7A">
              <w:rPr>
                <w:rFonts w:ascii="Calibri" w:hAnsi="Calibri"/>
                <w:sz w:val="22"/>
              </w:rPr>
              <w:t xml:space="preserve"> 2017</w:t>
            </w:r>
            <w:r>
              <w:rPr>
                <w:rFonts w:ascii="Calibri" w:hAnsi="Calibri"/>
                <w:sz w:val="22"/>
              </w:rPr>
              <w:t xml:space="preserve"> – prohloubení znalostí </w:t>
            </w:r>
            <w:r w:rsidR="00841248">
              <w:rPr>
                <w:rFonts w:ascii="Calibri" w:hAnsi="Calibri"/>
                <w:sz w:val="22"/>
              </w:rPr>
              <w:t>v nových trendech knihovnictví</w:t>
            </w:r>
            <w:r>
              <w:rPr>
                <w:rFonts w:ascii="Calibri" w:hAnsi="Calibri"/>
                <w:sz w:val="22"/>
              </w:rPr>
              <w:t>, navázání kon</w:t>
            </w:r>
            <w:r w:rsidR="00841248">
              <w:rPr>
                <w:rFonts w:ascii="Calibri" w:hAnsi="Calibri"/>
                <w:sz w:val="22"/>
              </w:rPr>
              <w:t>taktů.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841248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1248">
              <w:rPr>
                <w:rFonts w:asciiTheme="minorHAnsi" w:hAnsiTheme="minorHAnsi" w:cstheme="minorHAnsi"/>
                <w:sz w:val="22"/>
                <w:szCs w:val="22"/>
              </w:rPr>
              <w:t>https://2017.ifla.org/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F21D7A" w:rsidRDefault="00F21D7A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Účast na </w:t>
      </w:r>
      <w:r w:rsidR="00841248">
        <w:rPr>
          <w:rFonts w:ascii="Calibri" w:eastAsia="Calibri" w:hAnsi="Calibri"/>
          <w:b/>
          <w:sz w:val="22"/>
          <w:szCs w:val="22"/>
          <w:lang w:eastAsia="en-US"/>
        </w:rPr>
        <w:t>konferenci IFLA 2017</w:t>
      </w:r>
    </w:p>
    <w:p w:rsidR="00841248" w:rsidRDefault="00841248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Hlavním motem letošní výroční konference IFLA bylo heslo „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Solidarity. Society“, přičemž středobodem hlavních konferenčních sekcí bylo představení globální vize IFLA pro další roky. Mimo vlastního představení této vize směřující zejména do oblastí rovného přístupu k informacím a udržitelného rozvoje, bylo během konference zahájeno i hlasování odborníků k IFLA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Global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Vision. První kolo hlasování proběhlo přímo mezi účastníky akce, hlasovat je však možné i dále prostřednictvím odkazu </w:t>
      </w:r>
      <w:hyperlink r:id="rId11" w:history="1">
        <w:r w:rsidRPr="00E31DC6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https://globalvision.ifla.org/vote/</w:t>
        </w:r>
      </w:hyperlink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3E260F" w:rsidRDefault="00841248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 hlavních témat akce, které jsou relevantní pro výzkum obla</w:t>
      </w:r>
      <w:r w:rsidR="00D4632A">
        <w:rPr>
          <w:rFonts w:ascii="Calibri" w:eastAsia="Calibri" w:hAnsi="Calibri"/>
          <w:sz w:val="22"/>
          <w:szCs w:val="22"/>
          <w:lang w:eastAsia="en-US"/>
        </w:rPr>
        <w:t xml:space="preserve">sti </w:t>
      </w:r>
      <w:proofErr w:type="spellStart"/>
      <w:r w:rsidR="00D4632A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D463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632A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D4632A">
        <w:rPr>
          <w:rFonts w:ascii="Calibri" w:eastAsia="Calibri" w:hAnsi="Calibri"/>
          <w:sz w:val="22"/>
          <w:szCs w:val="22"/>
          <w:lang w:eastAsia="en-US"/>
        </w:rPr>
        <w:t xml:space="preserve">, byly zejména sekce dotýkající se získávání, ukládání a zpřístupnění obsahu webových zdrojů. Tato témata byla akcentována zejména v sekci věnované národním knihovnám a dále pak dlouhodobému ukládání zdrojů v knihovnách. V obou sekcích byl od přechozího ročníku konference IFLA patrný posun od klasických dokumentů v tištěné či elektronické podobě právě přímo do podoby webových zdrojů. </w:t>
      </w:r>
      <w:r w:rsidR="00E12ADC">
        <w:rPr>
          <w:rFonts w:ascii="Calibri" w:eastAsia="Calibri" w:hAnsi="Calibri"/>
          <w:sz w:val="22"/>
          <w:szCs w:val="22"/>
          <w:lang w:eastAsia="en-US"/>
        </w:rPr>
        <w:t>V rámci sekce „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Agony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Long-term Access: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Collection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Building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Digital Era -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Conservation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Acquisition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Collection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Development</w:t>
      </w:r>
      <w:proofErr w:type="spellEnd"/>
      <w:r w:rsidR="00E12ADC">
        <w:rPr>
          <w:rFonts w:ascii="Calibri" w:eastAsia="Calibri" w:hAnsi="Calibri"/>
          <w:sz w:val="22"/>
          <w:szCs w:val="22"/>
          <w:lang w:eastAsia="en-US"/>
        </w:rPr>
        <w:t xml:space="preserve">“ byly představeny možnosti úložiště Fedora pro dlouhodobou archivaci dat včetně nových postupů spjatých s Fedorou ve verzi 4, dále přístupy k akvizici digitálních </w:t>
      </w:r>
      <w:r w:rsidR="00E12AD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dat včetně dat z webových archivů v prostředí Belgické královské knihovny, možnosti </w:t>
      </w:r>
      <w:proofErr w:type="spellStart"/>
      <w:r w:rsidR="00E12ADC">
        <w:rPr>
          <w:rFonts w:ascii="Calibri" w:eastAsia="Calibri" w:hAnsi="Calibri"/>
          <w:sz w:val="22"/>
          <w:szCs w:val="22"/>
          <w:lang w:eastAsia="en-US"/>
        </w:rPr>
        <w:t>cloudových</w:t>
      </w:r>
      <w:proofErr w:type="spellEnd"/>
      <w:r w:rsidR="00E12ADC">
        <w:rPr>
          <w:rFonts w:ascii="Calibri" w:eastAsia="Calibri" w:hAnsi="Calibri"/>
          <w:sz w:val="22"/>
          <w:szCs w:val="22"/>
          <w:lang w:eastAsia="en-US"/>
        </w:rPr>
        <w:t xml:space="preserve"> řešení používaných v polských knihovnách, které vytváří poznaňské výpočetní centrum a konečně příspěvek k měření kvality obsahu webových archivů od </w:t>
      </w:r>
      <w:r w:rsidR="00E12ADC" w:rsidRPr="00E12ADC">
        <w:rPr>
          <w:rFonts w:ascii="Calibri" w:eastAsia="Calibri" w:hAnsi="Calibri"/>
          <w:sz w:val="22"/>
          <w:szCs w:val="22"/>
          <w:lang w:eastAsia="en-US"/>
        </w:rPr>
        <w:t>Julien</w:t>
      </w:r>
      <w:r w:rsidR="00E12ADC">
        <w:rPr>
          <w:rFonts w:ascii="Calibri" w:eastAsia="Calibri" w:hAnsi="Calibri"/>
          <w:sz w:val="22"/>
          <w:szCs w:val="22"/>
          <w:lang w:eastAsia="en-US"/>
        </w:rPr>
        <w:t xml:space="preserve">a </w:t>
      </w:r>
      <w:proofErr w:type="spellStart"/>
      <w:r w:rsidR="00E12ADC">
        <w:rPr>
          <w:rFonts w:ascii="Calibri" w:eastAsia="Calibri" w:hAnsi="Calibri"/>
          <w:sz w:val="22"/>
          <w:szCs w:val="22"/>
          <w:lang w:eastAsia="en-US"/>
        </w:rPr>
        <w:t>Masanès</w:t>
      </w:r>
      <w:proofErr w:type="spellEnd"/>
      <w:r w:rsidR="00E12ADC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Internet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Memory</w:t>
      </w:r>
      <w:proofErr w:type="spellEnd"/>
      <w:r w:rsidR="00E12ADC" w:rsidRPr="00E12AD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E12ADC" w:rsidRPr="00E12ADC">
        <w:rPr>
          <w:rFonts w:ascii="Calibri" w:eastAsia="Calibri" w:hAnsi="Calibri"/>
          <w:sz w:val="22"/>
          <w:szCs w:val="22"/>
          <w:lang w:eastAsia="en-US"/>
        </w:rPr>
        <w:t>Foundation</w:t>
      </w:r>
      <w:proofErr w:type="spellEnd"/>
      <w:r w:rsidR="00E12ADC">
        <w:rPr>
          <w:rFonts w:ascii="Calibri" w:eastAsia="Calibri" w:hAnsi="Calibri"/>
          <w:sz w:val="22"/>
          <w:szCs w:val="22"/>
          <w:lang w:eastAsia="en-US"/>
        </w:rPr>
        <w:t xml:space="preserve">. V téměř celodenní sekci věnované národním knihovnám </w:t>
      </w:r>
      <w:r w:rsidR="003E260F">
        <w:rPr>
          <w:rFonts w:ascii="Calibri" w:eastAsia="Calibri" w:hAnsi="Calibri"/>
          <w:sz w:val="22"/>
          <w:szCs w:val="22"/>
          <w:lang w:eastAsia="en-US"/>
        </w:rPr>
        <w:t>nazvané „</w:t>
      </w:r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A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Memory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Bank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Digital Society: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and Web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Archiving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with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Information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Technology</w:t>
      </w:r>
      <w:r w:rsidR="003E260F">
        <w:rPr>
          <w:rFonts w:ascii="Calibri" w:eastAsia="Calibri" w:hAnsi="Calibri"/>
          <w:sz w:val="22"/>
          <w:szCs w:val="22"/>
          <w:lang w:eastAsia="en-US"/>
        </w:rPr>
        <w:t xml:space="preserve">“ rezonovalo stejné téma. Obsah sekce byl rozdělen na několik typů příspěvků – institucí, které s budování archivů webů teprve začínají (například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 and University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Slovenia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>), institucí, které se tématikou již zabývají (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Australia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) a konečně institucí, které se snažili ostatní poskytnout tzv.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best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practices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(například </w:t>
      </w:r>
      <w:r w:rsidR="003E260F" w:rsidRPr="003E260F">
        <w:rPr>
          <w:rFonts w:ascii="Calibri" w:eastAsia="Calibri" w:hAnsi="Calibri"/>
          <w:sz w:val="22"/>
          <w:szCs w:val="22"/>
          <w:lang w:eastAsia="en-US"/>
        </w:rPr>
        <w:t xml:space="preserve">UK Web Archive, United </w:t>
      </w:r>
      <w:proofErr w:type="spellStart"/>
      <w:r w:rsidR="003E260F" w:rsidRPr="003E260F">
        <w:rPr>
          <w:rFonts w:ascii="Calibri" w:eastAsia="Calibri" w:hAnsi="Calibri"/>
          <w:sz w:val="22"/>
          <w:szCs w:val="22"/>
          <w:lang w:eastAsia="en-US"/>
        </w:rPr>
        <w:t>Kingdom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). Sekce byla rozdělena na jednotlivé krátké příspěvky, na něž navazovala diskuze s auditoriem. Oblast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E260F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3E260F">
        <w:rPr>
          <w:rFonts w:ascii="Calibri" w:eastAsia="Calibri" w:hAnsi="Calibri"/>
          <w:sz w:val="22"/>
          <w:szCs w:val="22"/>
          <w:lang w:eastAsia="en-US"/>
        </w:rPr>
        <w:t xml:space="preserve"> byla také součástí přednášek sekce věnující se rukopisům a starým tiskům, kde se hojně diskutovali možnosti jejich využití ve strojově zpracovatelné formě.</w:t>
      </w:r>
    </w:p>
    <w:p w:rsidR="003E260F" w:rsidRDefault="003E260F" w:rsidP="003E26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rámci konference IFLA pak byla představena i specializovaná sekce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special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interest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) věnující se oblasti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Sekce s názvem „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Global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and Digital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Scholarship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Best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Practices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What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is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Role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IFLA and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DH/DS SIG: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Lightning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Talks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Interactive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Conversations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- Digital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/Digital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Scholarships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SIG</w:t>
      </w:r>
      <w:r>
        <w:rPr>
          <w:rFonts w:ascii="Calibri" w:eastAsia="Calibri" w:hAnsi="Calibri"/>
          <w:sz w:val="22"/>
          <w:szCs w:val="22"/>
          <w:lang w:eastAsia="en-US"/>
        </w:rPr>
        <w:t xml:space="preserve">“ proběhla pod vedením prof. Xuemao Wang z </w:t>
      </w:r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University </w:t>
      </w:r>
      <w:proofErr w:type="spellStart"/>
      <w:r w:rsidRPr="003E260F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3E260F">
        <w:rPr>
          <w:rFonts w:ascii="Calibri" w:eastAsia="Calibri" w:hAnsi="Calibri"/>
          <w:sz w:val="22"/>
          <w:szCs w:val="22"/>
          <w:lang w:eastAsia="en-US"/>
        </w:rPr>
        <w:t xml:space="preserve"> Cincinnati, </w:t>
      </w:r>
      <w:r>
        <w:rPr>
          <w:rFonts w:ascii="Calibri" w:eastAsia="Calibri" w:hAnsi="Calibri"/>
          <w:sz w:val="22"/>
          <w:szCs w:val="22"/>
          <w:lang w:eastAsia="en-US"/>
        </w:rPr>
        <w:t xml:space="preserve">USA. Sekce byla rozdělena na blok úvodních příspěvků, které shrnovaly nabídku zdrojů a nástrojů dostupných pro oblast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 předem vybraných státech (Belgie a Holandsko, USA, Jihoafrická republika, Jižní Korea)</w:t>
      </w:r>
      <w:r w:rsidR="00F543D9">
        <w:rPr>
          <w:rFonts w:ascii="Calibri" w:eastAsia="Calibri" w:hAnsi="Calibri"/>
          <w:sz w:val="22"/>
          <w:szCs w:val="22"/>
          <w:lang w:eastAsia="en-US"/>
        </w:rPr>
        <w:t xml:space="preserve"> a více než hodinovou diskuzi o této problematice v jednotlivých státech zastoupených v auditoriu. V rámci představení ČR pohovořil T. Foltýn o realizovaných aktivitách Národní knihovny ČR a Knihovny AV ČR a zmínil cíle jednotlivých projektů a limity vzdělávání v této oblasti na vysokoškolských pracovištích. V návaznosti na své zapojení do diskuze byl T. Foltýn osloven s nabídkou aktivního zapojení do této nově vzniklé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special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interests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>, kterou akceptoval a nyní tak probíhají jednání o konkrétních úkolech T. Foltýna pro příští jednání této skupiny na konferenci IFLA 2018 v 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Kuala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Lumpuru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. Možností je i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samostaný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příspěvek T. Foltýna o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543D9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F543D9">
        <w:rPr>
          <w:rFonts w:ascii="Calibri" w:eastAsia="Calibri" w:hAnsi="Calibri"/>
          <w:sz w:val="22"/>
          <w:szCs w:val="22"/>
          <w:lang w:eastAsia="en-US"/>
        </w:rPr>
        <w:t xml:space="preserve"> v ČR.</w:t>
      </w:r>
    </w:p>
    <w:p w:rsidR="00F543D9" w:rsidRPr="003E260F" w:rsidRDefault="00F543D9" w:rsidP="003E26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rámci programu konference byly T. Foltýnem navštíveny i další sekce, včetně poster sekce a dále také stánky vystavovatelů. Mimo výše uvedených kontaktů se T. Foltýn setkal i s dalšími odborníky v různých oblastech moderního knihovnictví. </w:t>
      </w:r>
      <w:bookmarkStart w:id="0" w:name="_GoBack"/>
      <w:bookmarkEnd w:id="0"/>
    </w:p>
    <w:sectPr w:rsidR="00F543D9" w:rsidRPr="003E260F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95" w:rsidRDefault="00D44B95">
      <w:r>
        <w:separator/>
      </w:r>
    </w:p>
  </w:endnote>
  <w:endnote w:type="continuationSeparator" w:id="0">
    <w:p w:rsidR="00D44B95" w:rsidRDefault="00D4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95" w:rsidRDefault="00D44B95">
      <w:r>
        <w:separator/>
      </w:r>
    </w:p>
  </w:footnote>
  <w:footnote w:type="continuationSeparator" w:id="0">
    <w:p w:rsidR="00D44B95" w:rsidRDefault="00D4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2105C8"/>
    <w:rsid w:val="00281DF0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3E260F"/>
    <w:rsid w:val="00405E7F"/>
    <w:rsid w:val="00416326"/>
    <w:rsid w:val="004354A3"/>
    <w:rsid w:val="00466446"/>
    <w:rsid w:val="004A0D9A"/>
    <w:rsid w:val="004B5EFF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41248"/>
    <w:rsid w:val="00850342"/>
    <w:rsid w:val="00882378"/>
    <w:rsid w:val="00882BFC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65927"/>
    <w:rsid w:val="00A81E56"/>
    <w:rsid w:val="00AF2098"/>
    <w:rsid w:val="00B1347E"/>
    <w:rsid w:val="00B146C0"/>
    <w:rsid w:val="00B31564"/>
    <w:rsid w:val="00B331D6"/>
    <w:rsid w:val="00B8010C"/>
    <w:rsid w:val="00B81E7A"/>
    <w:rsid w:val="00BC7CE8"/>
    <w:rsid w:val="00BE17C4"/>
    <w:rsid w:val="00BE63AD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44B95"/>
    <w:rsid w:val="00D4632A"/>
    <w:rsid w:val="00D702FF"/>
    <w:rsid w:val="00DC2055"/>
    <w:rsid w:val="00DE1D6F"/>
    <w:rsid w:val="00DF228F"/>
    <w:rsid w:val="00DF28E6"/>
    <w:rsid w:val="00DF5E77"/>
    <w:rsid w:val="00E12ADC"/>
    <w:rsid w:val="00E21964"/>
    <w:rsid w:val="00E4485D"/>
    <w:rsid w:val="00E93CB4"/>
    <w:rsid w:val="00F21D7A"/>
    <w:rsid w:val="00F543D9"/>
    <w:rsid w:val="00F666BB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80923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vision.ifla.org/vo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E1536D-C3AE-4B7D-85D2-56CC73C8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39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5058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4</cp:revision>
  <cp:lastPrinted>2013-10-24T08:13:00Z</cp:lastPrinted>
  <dcterms:created xsi:type="dcterms:W3CDTF">2017-10-30T09:12:00Z</dcterms:created>
  <dcterms:modified xsi:type="dcterms:W3CDTF">2017-10-30T09:50:00Z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